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0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2"/>
        <w:gridCol w:w="4492"/>
        <w:gridCol w:w="82"/>
      </w:tblGrid>
      <w:tr w:rsidR="005E4B42" w:rsidRPr="00093B64" w14:paraId="0FDA6B33" w14:textId="77777777" w:rsidTr="00D52BE9">
        <w:trPr>
          <w:gridAfter w:val="1"/>
          <w:wAfter w:w="82" w:type="dxa"/>
        </w:trPr>
        <w:tc>
          <w:tcPr>
            <w:tcW w:w="9924" w:type="dxa"/>
            <w:gridSpan w:val="2"/>
          </w:tcPr>
          <w:p w14:paraId="162B2295" w14:textId="5CFA6932" w:rsidR="005E4B42" w:rsidRPr="004D57F4" w:rsidRDefault="005E4B42" w:rsidP="001D665D">
            <w:pPr>
              <w:tabs>
                <w:tab w:val="left" w:pos="1095"/>
                <w:tab w:val="center" w:pos="2279"/>
              </w:tabs>
              <w:spacing w:before="120" w:after="120"/>
              <w:jc w:val="center"/>
              <w:rPr>
                <w:rFonts w:cs="Times New Roman"/>
                <w:sz w:val="20"/>
                <w:szCs w:val="20"/>
                <w:highlight w:val="yellow"/>
              </w:rPr>
            </w:pPr>
          </w:p>
        </w:tc>
      </w:tr>
      <w:tr w:rsidR="005E4B42" w:rsidRPr="00093B64" w14:paraId="7F349093" w14:textId="77777777" w:rsidTr="00D52BE9">
        <w:trPr>
          <w:gridAfter w:val="1"/>
          <w:wAfter w:w="82" w:type="dxa"/>
        </w:trPr>
        <w:tc>
          <w:tcPr>
            <w:tcW w:w="9924" w:type="dxa"/>
            <w:gridSpan w:val="2"/>
          </w:tcPr>
          <w:p w14:paraId="494F386D" w14:textId="6D358634" w:rsidR="005E4B42" w:rsidRPr="004D57F4" w:rsidRDefault="00076EAB" w:rsidP="001D665D">
            <w:pPr>
              <w:tabs>
                <w:tab w:val="left" w:pos="1095"/>
                <w:tab w:val="center" w:pos="2279"/>
              </w:tabs>
              <w:spacing w:before="120" w:after="120"/>
              <w:jc w:val="center"/>
              <w:rPr>
                <w:rFonts w:cs="Times New Roman"/>
                <w:b/>
                <w:sz w:val="20"/>
                <w:szCs w:val="20"/>
              </w:rPr>
            </w:pPr>
            <w:sdt>
              <w:sdtPr>
                <w:rPr>
                  <w:rFonts w:cs="Times New Roman"/>
                  <w:sz w:val="20"/>
                  <w:szCs w:val="20"/>
                </w:rPr>
                <w:id w:val="-487098387"/>
                <w:placeholder>
                  <w:docPart w:val="DefaultPlaceholder_-1854013440"/>
                </w:placeholder>
              </w:sdtPr>
              <w:sdtContent>
                <w:r w:rsidR="005E4B42" w:rsidRPr="00A27D70">
                  <w:rPr>
                    <w:rFonts w:cs="Times New Roman"/>
                    <w:sz w:val="20"/>
                    <w:szCs w:val="20"/>
                  </w:rPr>
                  <w:t>[</w:t>
                </w:r>
                <w:r w:rsidR="005E4B42" w:rsidRPr="00A27D70">
                  <w:rPr>
                    <w:rFonts w:cs="Times New Roman"/>
                    <w:i/>
                    <w:iCs/>
                    <w:sz w:val="20"/>
                    <w:szCs w:val="20"/>
                  </w:rPr>
                  <w:t>datums ierakstāms</w:t>
                </w:r>
                <w:r w:rsidR="005E4B42" w:rsidRPr="00A27D70">
                  <w:rPr>
                    <w:rFonts w:cs="Times New Roman"/>
                    <w:sz w:val="20"/>
                    <w:szCs w:val="20"/>
                  </w:rPr>
                  <w:t>]</w:t>
                </w:r>
              </w:sdtContent>
            </w:sdt>
            <w:r w:rsidR="005E4B42" w:rsidRPr="004D57F4">
              <w:rPr>
                <w:rFonts w:cs="Times New Roman"/>
                <w:sz w:val="20"/>
                <w:szCs w:val="20"/>
              </w:rPr>
              <w:t xml:space="preserve"> </w:t>
            </w:r>
            <w:r w:rsidR="005E4B42" w:rsidRPr="004D57F4">
              <w:rPr>
                <w:rFonts w:cs="Times New Roman"/>
                <w:b/>
                <w:bCs/>
                <w:sz w:val="20"/>
                <w:szCs w:val="20"/>
              </w:rPr>
              <w:t>LĪGU</w:t>
            </w:r>
            <w:r w:rsidR="006F6EE3">
              <w:rPr>
                <w:rFonts w:cs="Times New Roman"/>
                <w:b/>
                <w:bCs/>
                <w:sz w:val="20"/>
                <w:szCs w:val="20"/>
              </w:rPr>
              <w:t>MA</w:t>
            </w:r>
            <w:r w:rsidR="005E4B42" w:rsidRPr="004D57F4">
              <w:rPr>
                <w:rFonts w:cs="Times New Roman"/>
                <w:b/>
                <w:bCs/>
                <w:sz w:val="20"/>
                <w:szCs w:val="20"/>
              </w:rPr>
              <w:t xml:space="preserve"> </w:t>
            </w:r>
          </w:p>
        </w:tc>
      </w:tr>
      <w:tr w:rsidR="005E4B42" w:rsidRPr="00093B64" w14:paraId="482F0A79" w14:textId="77777777" w:rsidTr="00D52BE9">
        <w:trPr>
          <w:gridAfter w:val="1"/>
          <w:wAfter w:w="82" w:type="dxa"/>
        </w:trPr>
        <w:tc>
          <w:tcPr>
            <w:tcW w:w="9924" w:type="dxa"/>
            <w:gridSpan w:val="2"/>
          </w:tcPr>
          <w:p w14:paraId="1E9B5595" w14:textId="0D6E0898" w:rsidR="005E4B42" w:rsidRPr="004D57F4" w:rsidRDefault="005E4B42" w:rsidP="001D665D">
            <w:pPr>
              <w:spacing w:before="120" w:after="120"/>
              <w:jc w:val="center"/>
              <w:rPr>
                <w:rFonts w:cs="Times New Roman"/>
                <w:b/>
                <w:i/>
                <w:sz w:val="20"/>
                <w:szCs w:val="20"/>
                <w:lang w:val="lv-LV"/>
              </w:rPr>
            </w:pPr>
            <w:r w:rsidRPr="004D57F4">
              <w:rPr>
                <w:rFonts w:cs="Times New Roman"/>
                <w:b/>
                <w:i/>
                <w:sz w:val="20"/>
                <w:szCs w:val="20"/>
                <w:lang w:val="lv-LV"/>
              </w:rPr>
              <w:t>par Depozīta iepakojuma apsaimniekošanu</w:t>
            </w:r>
          </w:p>
        </w:tc>
      </w:tr>
      <w:tr w:rsidR="005E4B42" w:rsidRPr="00093B64" w14:paraId="6B5B9427" w14:textId="77777777" w:rsidTr="00D52BE9">
        <w:trPr>
          <w:gridAfter w:val="1"/>
          <w:wAfter w:w="82" w:type="dxa"/>
        </w:trPr>
        <w:tc>
          <w:tcPr>
            <w:tcW w:w="9924" w:type="dxa"/>
            <w:gridSpan w:val="2"/>
          </w:tcPr>
          <w:p w14:paraId="4FB19986" w14:textId="77777777" w:rsidR="005E4B42" w:rsidRPr="004D57F4" w:rsidRDefault="005E4B42" w:rsidP="001D665D">
            <w:pPr>
              <w:spacing w:before="120" w:after="120"/>
              <w:jc w:val="center"/>
              <w:rPr>
                <w:rFonts w:cs="Times New Roman"/>
                <w:b/>
                <w:i/>
                <w:sz w:val="20"/>
                <w:szCs w:val="20"/>
                <w:lang w:val="lv-LV"/>
              </w:rPr>
            </w:pPr>
          </w:p>
        </w:tc>
      </w:tr>
      <w:tr w:rsidR="005E4B42" w:rsidRPr="00093B64" w14:paraId="0B12D508" w14:textId="77777777" w:rsidTr="00D52BE9">
        <w:trPr>
          <w:gridAfter w:val="1"/>
          <w:wAfter w:w="82" w:type="dxa"/>
        </w:trPr>
        <w:tc>
          <w:tcPr>
            <w:tcW w:w="9924" w:type="dxa"/>
            <w:gridSpan w:val="2"/>
          </w:tcPr>
          <w:p w14:paraId="334F7A47" w14:textId="7823C7E9" w:rsidR="005E4B42" w:rsidRPr="004D57F4" w:rsidRDefault="005E4B42" w:rsidP="001D665D">
            <w:pPr>
              <w:spacing w:before="120" w:after="120"/>
              <w:jc w:val="center"/>
              <w:rPr>
                <w:rFonts w:cs="Times New Roman"/>
                <w:sz w:val="20"/>
                <w:szCs w:val="20"/>
                <w:lang w:val="lv-LV"/>
              </w:rPr>
            </w:pPr>
            <w:r w:rsidRPr="004D57F4">
              <w:rPr>
                <w:rFonts w:cs="Times New Roman"/>
                <w:b/>
                <w:sz w:val="20"/>
                <w:szCs w:val="20"/>
                <w:lang w:val="lv-LV"/>
              </w:rPr>
              <w:t>PIELIKUMS Nr.</w:t>
            </w:r>
            <w:r w:rsidR="00304708">
              <w:rPr>
                <w:rFonts w:cs="Times New Roman"/>
                <w:b/>
                <w:sz w:val="20"/>
                <w:szCs w:val="20"/>
                <w:lang w:val="lv-LV"/>
              </w:rPr>
              <w:t>4</w:t>
            </w:r>
          </w:p>
        </w:tc>
      </w:tr>
      <w:tr w:rsidR="005E4B42" w:rsidRPr="00093B64" w14:paraId="028FF533" w14:textId="77777777" w:rsidTr="00D52BE9">
        <w:trPr>
          <w:gridAfter w:val="1"/>
          <w:wAfter w:w="82" w:type="dxa"/>
        </w:trPr>
        <w:tc>
          <w:tcPr>
            <w:tcW w:w="9924" w:type="dxa"/>
            <w:gridSpan w:val="2"/>
          </w:tcPr>
          <w:p w14:paraId="6C834236" w14:textId="77777777" w:rsidR="005E4B42" w:rsidRPr="004D57F4" w:rsidRDefault="005E4B42" w:rsidP="001D665D">
            <w:pPr>
              <w:spacing w:before="120" w:after="120"/>
              <w:jc w:val="center"/>
              <w:rPr>
                <w:rFonts w:cs="Times New Roman"/>
                <w:b/>
                <w:sz w:val="20"/>
                <w:szCs w:val="20"/>
                <w:lang w:val="lv-LV"/>
              </w:rPr>
            </w:pPr>
            <w:r w:rsidRPr="004D57F4">
              <w:rPr>
                <w:rFonts w:cs="Times New Roman"/>
                <w:b/>
                <w:sz w:val="20"/>
                <w:szCs w:val="20"/>
                <w:lang w:val="lv-LV"/>
              </w:rPr>
              <w:t>VIENOŠANĀS</w:t>
            </w:r>
          </w:p>
        </w:tc>
      </w:tr>
      <w:tr w:rsidR="005E4B42" w:rsidRPr="00093B64" w14:paraId="0EB97266" w14:textId="77777777" w:rsidTr="00D52BE9">
        <w:trPr>
          <w:gridAfter w:val="1"/>
          <w:wAfter w:w="82" w:type="dxa"/>
        </w:trPr>
        <w:tc>
          <w:tcPr>
            <w:tcW w:w="9924" w:type="dxa"/>
            <w:gridSpan w:val="2"/>
          </w:tcPr>
          <w:p w14:paraId="67BE6870" w14:textId="1406B328" w:rsidR="005E4B42" w:rsidRPr="004D57F4" w:rsidRDefault="005E4B42" w:rsidP="001D665D">
            <w:pPr>
              <w:spacing w:before="120" w:after="120"/>
              <w:jc w:val="center"/>
              <w:rPr>
                <w:rFonts w:cs="Times New Roman"/>
                <w:b/>
                <w:bCs/>
                <w:i/>
                <w:iCs/>
                <w:sz w:val="20"/>
                <w:szCs w:val="20"/>
                <w:lang w:val="lv-LV"/>
              </w:rPr>
            </w:pPr>
            <w:r w:rsidRPr="004D57F4">
              <w:rPr>
                <w:rFonts w:cs="Times New Roman"/>
                <w:b/>
                <w:bCs/>
                <w:i/>
                <w:iCs/>
                <w:sz w:val="20"/>
                <w:szCs w:val="20"/>
                <w:lang w:val="lv-LV"/>
              </w:rPr>
              <w:t xml:space="preserve">par Universālā </w:t>
            </w:r>
            <w:r w:rsidR="00996381">
              <w:rPr>
                <w:rFonts w:cs="Times New Roman"/>
                <w:b/>
                <w:bCs/>
                <w:i/>
                <w:iCs/>
                <w:sz w:val="20"/>
                <w:szCs w:val="20"/>
                <w:lang w:val="lv-LV"/>
              </w:rPr>
              <w:t>AU</w:t>
            </w:r>
            <w:r w:rsidRPr="004D57F4">
              <w:rPr>
                <w:rFonts w:cs="Times New Roman"/>
                <w:b/>
                <w:bCs/>
                <w:i/>
                <w:iCs/>
                <w:sz w:val="20"/>
                <w:szCs w:val="20"/>
                <w:lang w:val="lv-LV"/>
              </w:rPr>
              <w:t xml:space="preserve"> iepakojuma apriti</w:t>
            </w:r>
          </w:p>
        </w:tc>
      </w:tr>
      <w:tr w:rsidR="005E4B42" w:rsidRPr="00093B64" w14:paraId="251BC2B0" w14:textId="77777777" w:rsidTr="00D52BE9">
        <w:trPr>
          <w:gridAfter w:val="1"/>
          <w:wAfter w:w="82" w:type="dxa"/>
        </w:trPr>
        <w:tc>
          <w:tcPr>
            <w:tcW w:w="9924" w:type="dxa"/>
            <w:gridSpan w:val="2"/>
          </w:tcPr>
          <w:p w14:paraId="7B667823" w14:textId="77777777" w:rsidR="005E4B42" w:rsidRPr="004D57F4" w:rsidRDefault="005E4B42" w:rsidP="00D732EF">
            <w:pPr>
              <w:spacing w:before="120" w:after="120"/>
              <w:rPr>
                <w:rFonts w:cs="Times New Roman"/>
                <w:sz w:val="20"/>
                <w:szCs w:val="20"/>
                <w:lang w:val="lv-LV"/>
              </w:rPr>
            </w:pPr>
          </w:p>
        </w:tc>
      </w:tr>
      <w:tr w:rsidR="005E4B42" w:rsidRPr="002A218D" w14:paraId="286FFBC7" w14:textId="77777777" w:rsidTr="00D52BE9">
        <w:trPr>
          <w:gridAfter w:val="1"/>
          <w:wAfter w:w="82" w:type="dxa"/>
        </w:trPr>
        <w:tc>
          <w:tcPr>
            <w:tcW w:w="9924" w:type="dxa"/>
            <w:gridSpan w:val="2"/>
          </w:tcPr>
          <w:p w14:paraId="3508AA09" w14:textId="36EC6128" w:rsidR="005E4B42" w:rsidRPr="002A218D" w:rsidRDefault="005E4B42" w:rsidP="001D665D">
            <w:pPr>
              <w:spacing w:before="120" w:after="120"/>
              <w:jc w:val="both"/>
              <w:rPr>
                <w:rFonts w:cs="Times New Roman"/>
                <w:sz w:val="20"/>
                <w:szCs w:val="20"/>
                <w:lang w:val="lv-LV"/>
              </w:rPr>
            </w:pPr>
            <w:r w:rsidRPr="002A218D">
              <w:rPr>
                <w:rFonts w:cs="Times New Roman"/>
                <w:sz w:val="20"/>
                <w:szCs w:val="20"/>
                <w:lang w:val="lv-LV"/>
              </w:rPr>
              <w:t>Ņemot vērā Līguma par Depozīta iepakojuma apsaimniekošanu (turpmāk – “</w:t>
            </w:r>
            <w:r w:rsidRPr="002A218D">
              <w:rPr>
                <w:rFonts w:cs="Times New Roman"/>
                <w:b/>
                <w:bCs/>
                <w:sz w:val="20"/>
                <w:szCs w:val="20"/>
                <w:lang w:val="lv-LV"/>
              </w:rPr>
              <w:t>Līgums</w:t>
            </w:r>
            <w:r w:rsidRPr="002A218D">
              <w:rPr>
                <w:rFonts w:cs="Times New Roman"/>
                <w:sz w:val="20"/>
                <w:szCs w:val="20"/>
                <w:lang w:val="lv-LV"/>
              </w:rPr>
              <w:t xml:space="preserve">”), kuru Puses noslēgušas </w:t>
            </w:r>
            <w:sdt>
              <w:sdtPr>
                <w:rPr>
                  <w:rFonts w:cs="Times New Roman"/>
                  <w:sz w:val="20"/>
                  <w:szCs w:val="20"/>
                  <w:lang w:val="lv-LV"/>
                </w:rPr>
                <w:id w:val="1253013054"/>
                <w:placeholder>
                  <w:docPart w:val="DefaultPlaceholder_-1854013440"/>
                </w:placeholder>
              </w:sdtPr>
              <w:sdtContent>
                <w:r w:rsidRPr="002A218D">
                  <w:rPr>
                    <w:rFonts w:cs="Times New Roman"/>
                    <w:sz w:val="20"/>
                    <w:szCs w:val="20"/>
                    <w:lang w:val="lv-LV"/>
                  </w:rPr>
                  <w:t>[</w:t>
                </w:r>
                <w:r w:rsidRPr="002A218D">
                  <w:rPr>
                    <w:rFonts w:cs="Times New Roman"/>
                    <w:i/>
                    <w:iCs/>
                    <w:sz w:val="20"/>
                    <w:szCs w:val="20"/>
                    <w:lang w:val="lv-LV"/>
                  </w:rPr>
                  <w:t>datums ierakstāms</w:t>
                </w:r>
                <w:r w:rsidRPr="002A218D">
                  <w:rPr>
                    <w:rFonts w:cs="Times New Roman"/>
                    <w:sz w:val="20"/>
                    <w:szCs w:val="20"/>
                    <w:lang w:val="lv-LV"/>
                  </w:rPr>
                  <w:t>],</w:t>
                </w:r>
              </w:sdtContent>
            </w:sdt>
            <w:r w:rsidRPr="002A218D">
              <w:rPr>
                <w:rFonts w:cs="Times New Roman"/>
                <w:sz w:val="20"/>
                <w:szCs w:val="20"/>
                <w:lang w:val="lv-LV"/>
              </w:rPr>
              <w:t xml:space="preserve"> 5. punktu, Puses noslēdz šo vienošanos par Universāl</w:t>
            </w:r>
            <w:r w:rsidR="00BA0E0C" w:rsidRPr="002A218D">
              <w:rPr>
                <w:rFonts w:cs="Times New Roman"/>
                <w:sz w:val="20"/>
                <w:szCs w:val="20"/>
                <w:lang w:val="lv-LV"/>
              </w:rPr>
              <w:t>ā</w:t>
            </w:r>
            <w:r w:rsidRPr="002A218D">
              <w:rPr>
                <w:rFonts w:cs="Times New Roman"/>
                <w:sz w:val="20"/>
                <w:szCs w:val="20"/>
                <w:lang w:val="lv-LV"/>
              </w:rPr>
              <w:t xml:space="preserve"> </w:t>
            </w:r>
            <w:r w:rsidR="00D807DB" w:rsidRPr="002A218D">
              <w:rPr>
                <w:rFonts w:cs="Times New Roman"/>
                <w:sz w:val="20"/>
                <w:szCs w:val="20"/>
                <w:lang w:val="lv-LV"/>
              </w:rPr>
              <w:t xml:space="preserve">AU </w:t>
            </w:r>
            <w:r w:rsidRPr="002A218D">
              <w:rPr>
                <w:rFonts w:cs="Times New Roman"/>
                <w:sz w:val="20"/>
                <w:szCs w:val="20"/>
                <w:lang w:val="lv-LV"/>
              </w:rPr>
              <w:t>iepakojum</w:t>
            </w:r>
            <w:r w:rsidR="00D57C66" w:rsidRPr="002A218D">
              <w:rPr>
                <w:rFonts w:cs="Times New Roman"/>
                <w:sz w:val="20"/>
                <w:szCs w:val="20"/>
                <w:lang w:val="lv-LV"/>
              </w:rPr>
              <w:t>a aprites</w:t>
            </w:r>
            <w:r w:rsidRPr="002A218D">
              <w:rPr>
                <w:rFonts w:cs="Times New Roman"/>
                <w:sz w:val="20"/>
                <w:szCs w:val="20"/>
                <w:lang w:val="lv-LV"/>
              </w:rPr>
              <w:t xml:space="preserve"> nosacījumiem un kārtību (turpmāk – “</w:t>
            </w:r>
            <w:r w:rsidRPr="002A218D">
              <w:rPr>
                <w:rFonts w:cs="Times New Roman"/>
                <w:b/>
                <w:bCs/>
                <w:sz w:val="20"/>
                <w:szCs w:val="20"/>
                <w:lang w:val="lv-LV"/>
              </w:rPr>
              <w:t>Vienošanās</w:t>
            </w:r>
            <w:r w:rsidRPr="002A218D">
              <w:rPr>
                <w:rFonts w:cs="Times New Roman"/>
                <w:sz w:val="20"/>
                <w:szCs w:val="20"/>
                <w:lang w:val="lv-LV"/>
              </w:rPr>
              <w:t xml:space="preserve">”): </w:t>
            </w:r>
          </w:p>
        </w:tc>
      </w:tr>
      <w:tr w:rsidR="005E4B42" w:rsidRPr="00093B64" w14:paraId="00107C22" w14:textId="77777777" w:rsidTr="00D52BE9">
        <w:trPr>
          <w:gridAfter w:val="1"/>
          <w:wAfter w:w="82" w:type="dxa"/>
        </w:trPr>
        <w:tc>
          <w:tcPr>
            <w:tcW w:w="9924" w:type="dxa"/>
            <w:gridSpan w:val="2"/>
          </w:tcPr>
          <w:p w14:paraId="6B1AD955" w14:textId="44BBE369" w:rsidR="00A06D9A" w:rsidRPr="00996381" w:rsidRDefault="005E4B42" w:rsidP="00996381">
            <w:pPr>
              <w:pStyle w:val="SLONormal"/>
              <w:numPr>
                <w:ilvl w:val="0"/>
                <w:numId w:val="8"/>
              </w:numPr>
              <w:ind w:left="604" w:hanging="570"/>
              <w:rPr>
                <w:noProof w:val="0"/>
                <w:sz w:val="20"/>
                <w:szCs w:val="20"/>
                <w:lang w:val="lv-LV"/>
              </w:rPr>
            </w:pPr>
            <w:r w:rsidRPr="004D57F4">
              <w:rPr>
                <w:noProof w:val="0"/>
                <w:sz w:val="20"/>
                <w:szCs w:val="20"/>
                <w:lang w:val="lv-LV"/>
              </w:rPr>
              <w:t xml:space="preserve">Saskaņā ar Līguma un šīs Vienošanās noteikumiem DIO apņemas organizēt Universālā </w:t>
            </w:r>
            <w:r w:rsidR="005F1AE5" w:rsidRPr="004D57F4">
              <w:rPr>
                <w:noProof w:val="0"/>
                <w:sz w:val="20"/>
                <w:szCs w:val="20"/>
                <w:lang w:val="lv-LV"/>
              </w:rPr>
              <w:t xml:space="preserve">AU </w:t>
            </w:r>
            <w:r w:rsidRPr="004D57F4">
              <w:rPr>
                <w:noProof w:val="0"/>
                <w:sz w:val="20"/>
                <w:szCs w:val="20"/>
                <w:lang w:val="lv-LV"/>
              </w:rPr>
              <w:t xml:space="preserve">iepakojuma apriti un nodošanu Depozīta iepakotājam atkārtotai </w:t>
            </w:r>
            <w:r w:rsidR="0075758A" w:rsidRPr="004D57F4">
              <w:rPr>
                <w:noProof w:val="0"/>
                <w:sz w:val="20"/>
                <w:szCs w:val="20"/>
                <w:lang w:val="lv-LV"/>
              </w:rPr>
              <w:t>uzpildīšanai</w:t>
            </w:r>
            <w:r w:rsidRPr="004D57F4">
              <w:rPr>
                <w:noProof w:val="0"/>
                <w:sz w:val="20"/>
                <w:szCs w:val="20"/>
                <w:lang w:val="lv-LV"/>
              </w:rPr>
              <w:t xml:space="preserve">, savukārt Depozīta iepakotājs apņemas pieņemt </w:t>
            </w:r>
            <w:r w:rsidR="00E61B48" w:rsidRPr="004D57F4">
              <w:rPr>
                <w:noProof w:val="0"/>
                <w:sz w:val="20"/>
                <w:szCs w:val="20"/>
                <w:lang w:val="lv-LV"/>
              </w:rPr>
              <w:t xml:space="preserve">Reģistrā reģistrēto </w:t>
            </w:r>
            <w:r w:rsidRPr="004D57F4">
              <w:rPr>
                <w:noProof w:val="0"/>
                <w:sz w:val="20"/>
                <w:szCs w:val="20"/>
                <w:lang w:val="lv-LV"/>
              </w:rPr>
              <w:t xml:space="preserve">Universālo </w:t>
            </w:r>
            <w:r w:rsidR="00224C7E" w:rsidRPr="004D57F4">
              <w:rPr>
                <w:noProof w:val="0"/>
                <w:sz w:val="20"/>
                <w:szCs w:val="20"/>
                <w:lang w:val="lv-LV"/>
              </w:rPr>
              <w:t xml:space="preserve">AU </w:t>
            </w:r>
            <w:r w:rsidRPr="004D57F4">
              <w:rPr>
                <w:noProof w:val="0"/>
                <w:sz w:val="20"/>
                <w:szCs w:val="20"/>
                <w:lang w:val="lv-LV"/>
              </w:rPr>
              <w:t xml:space="preserve">iepakojumu no DIO </w:t>
            </w:r>
            <w:r w:rsidR="00644389" w:rsidRPr="004D57F4">
              <w:rPr>
                <w:noProof w:val="0"/>
                <w:sz w:val="20"/>
                <w:szCs w:val="20"/>
                <w:lang w:val="lv-LV"/>
              </w:rPr>
              <w:t xml:space="preserve">tam </w:t>
            </w:r>
            <w:r w:rsidR="00382FE6" w:rsidRPr="004D57F4">
              <w:rPr>
                <w:noProof w:val="0"/>
                <w:sz w:val="20"/>
                <w:szCs w:val="20"/>
                <w:lang w:val="lv-LV"/>
              </w:rPr>
              <w:t>piekrītošā</w:t>
            </w:r>
            <w:r w:rsidR="00644389" w:rsidRPr="004D57F4">
              <w:rPr>
                <w:noProof w:val="0"/>
                <w:sz w:val="20"/>
                <w:szCs w:val="20"/>
                <w:lang w:val="lv-LV"/>
              </w:rPr>
              <w:t xml:space="preserve"> proporcijā </w:t>
            </w:r>
            <w:r w:rsidRPr="004D57F4">
              <w:rPr>
                <w:noProof w:val="0"/>
                <w:sz w:val="20"/>
                <w:szCs w:val="20"/>
                <w:lang w:val="lv-LV"/>
              </w:rPr>
              <w:t xml:space="preserve">un </w:t>
            </w:r>
            <w:r w:rsidR="0097357A" w:rsidRPr="004D57F4">
              <w:rPr>
                <w:noProof w:val="0"/>
                <w:sz w:val="20"/>
                <w:szCs w:val="20"/>
                <w:lang w:val="lv-LV"/>
              </w:rPr>
              <w:t xml:space="preserve">uzpildīt </w:t>
            </w:r>
            <w:r w:rsidRPr="004D57F4">
              <w:rPr>
                <w:noProof w:val="0"/>
                <w:sz w:val="20"/>
                <w:szCs w:val="20"/>
                <w:lang w:val="lv-LV"/>
              </w:rPr>
              <w:t>to atkārtoti.</w:t>
            </w:r>
          </w:p>
        </w:tc>
      </w:tr>
      <w:tr w:rsidR="00996381" w:rsidRPr="00093B64" w14:paraId="33C5A7E2" w14:textId="77777777" w:rsidTr="00D52BE9">
        <w:trPr>
          <w:gridAfter w:val="1"/>
          <w:wAfter w:w="82" w:type="dxa"/>
        </w:trPr>
        <w:tc>
          <w:tcPr>
            <w:tcW w:w="9924" w:type="dxa"/>
            <w:gridSpan w:val="2"/>
          </w:tcPr>
          <w:p w14:paraId="40C64DE3" w14:textId="77777777" w:rsidR="00996381" w:rsidRPr="004D57F4" w:rsidRDefault="00996381" w:rsidP="00996381">
            <w:pPr>
              <w:pStyle w:val="SLONormal"/>
              <w:numPr>
                <w:ilvl w:val="0"/>
                <w:numId w:val="8"/>
              </w:numPr>
              <w:spacing w:before="0"/>
              <w:ind w:left="604" w:hanging="570"/>
              <w:rPr>
                <w:noProof w:val="0"/>
                <w:sz w:val="20"/>
                <w:szCs w:val="20"/>
                <w:lang w:val="lv-LV"/>
              </w:rPr>
            </w:pPr>
            <w:r w:rsidRPr="004D57F4">
              <w:rPr>
                <w:sz w:val="20"/>
                <w:szCs w:val="20"/>
                <w:lang w:val="lv-LV"/>
              </w:rPr>
              <w:t>Universālā</w:t>
            </w:r>
            <w:r>
              <w:rPr>
                <w:sz w:val="20"/>
                <w:szCs w:val="20"/>
                <w:lang w:val="lv-LV"/>
              </w:rPr>
              <w:t xml:space="preserve"> AU</w:t>
            </w:r>
            <w:r w:rsidRPr="004D57F4">
              <w:rPr>
                <w:sz w:val="20"/>
                <w:szCs w:val="20"/>
                <w:lang w:val="lv-LV"/>
              </w:rPr>
              <w:t xml:space="preserve"> iepakojuma aprite notiks pēc sekojošas shēmas:</w:t>
            </w:r>
          </w:p>
          <w:p w14:paraId="3B39CEF7" w14:textId="46951788" w:rsidR="00996381" w:rsidRPr="00996381" w:rsidRDefault="00996381" w:rsidP="00996381">
            <w:pPr>
              <w:spacing w:after="120"/>
              <w:ind w:left="604"/>
              <w:jc w:val="both"/>
              <w:rPr>
                <w:rFonts w:cs="Times New Roman"/>
                <w:sz w:val="20"/>
                <w:szCs w:val="20"/>
              </w:rPr>
            </w:pPr>
            <w:r w:rsidRPr="004D57F4">
              <w:rPr>
                <w:rFonts w:cs="Times New Roman"/>
                <w:sz w:val="20"/>
                <w:szCs w:val="20"/>
              </w:rPr>
              <w:t xml:space="preserve">Depozīta iepakotājs realizē dzērienus Pārdevējam </w:t>
            </w:r>
            <w:r w:rsidRPr="004D57F4">
              <w:rPr>
                <w:rFonts w:cs="Times New Roman"/>
                <w:sz w:val="20"/>
                <w:szCs w:val="20"/>
              </w:rPr>
              <w:sym w:font="Wingdings" w:char="F0E0"/>
            </w:r>
            <w:r w:rsidRPr="004D57F4">
              <w:rPr>
                <w:rFonts w:cs="Times New Roman"/>
                <w:sz w:val="20"/>
                <w:szCs w:val="20"/>
              </w:rPr>
              <w:t xml:space="preserve"> Pārdevējs pārdod pudeles gala lietotājiem </w:t>
            </w:r>
            <w:r w:rsidRPr="004D57F4">
              <w:rPr>
                <w:rFonts w:cs="Times New Roman"/>
                <w:sz w:val="20"/>
                <w:szCs w:val="20"/>
              </w:rPr>
              <w:sym w:font="Wingdings" w:char="F0E0"/>
            </w:r>
            <w:r w:rsidRPr="004D57F4">
              <w:rPr>
                <w:rFonts w:cs="Times New Roman"/>
                <w:sz w:val="20"/>
                <w:szCs w:val="20"/>
              </w:rPr>
              <w:t xml:space="preserve"> Gala lietotājs pudeli atgriež Depozīta iepakojuma pieņemšanas vietā (tālāk tekstā Pieņemšanas vieta) </w:t>
            </w:r>
            <w:r w:rsidRPr="004D57F4">
              <w:rPr>
                <w:rFonts w:cs="Times New Roman"/>
                <w:sz w:val="20"/>
                <w:szCs w:val="20"/>
              </w:rPr>
              <w:sym w:font="Wingdings" w:char="F0E0"/>
            </w:r>
            <w:r w:rsidRPr="004D57F4">
              <w:rPr>
                <w:rFonts w:cs="Times New Roman"/>
                <w:sz w:val="20"/>
                <w:szCs w:val="20"/>
              </w:rPr>
              <w:t xml:space="preserve"> Pieņemšanas vieta organizē pudeļu pieņemšanu </w:t>
            </w:r>
            <w:r w:rsidRPr="004D57F4">
              <w:rPr>
                <w:rFonts w:cs="Times New Roman"/>
                <w:sz w:val="20"/>
                <w:szCs w:val="20"/>
              </w:rPr>
              <w:sym w:font="Wingdings" w:char="F0E0"/>
            </w:r>
            <w:r w:rsidRPr="004D57F4">
              <w:rPr>
                <w:rFonts w:cs="Times New Roman"/>
                <w:sz w:val="20"/>
                <w:szCs w:val="20"/>
              </w:rPr>
              <w:t xml:space="preserve"> Pieņemšanas vieta veic pudeļu šķirošanu pa veidiem, atdalot Universālo AU iepakojumu no citiem stikla Depozīta iepakojuma veidiem </w:t>
            </w:r>
            <w:r w:rsidRPr="004D57F4">
              <w:rPr>
                <w:rFonts w:cs="Times New Roman"/>
                <w:sz w:val="20"/>
                <w:szCs w:val="20"/>
              </w:rPr>
              <w:sym w:font="Wingdings" w:char="F0E0"/>
            </w:r>
            <w:r w:rsidRPr="004D57F4">
              <w:rPr>
                <w:rFonts w:cs="Times New Roman"/>
                <w:sz w:val="20"/>
                <w:szCs w:val="20"/>
              </w:rPr>
              <w:t xml:space="preserve"> Universālo AU iepakojumu ievieto standarta kastēs </w:t>
            </w:r>
            <w:r w:rsidRPr="004D57F4">
              <w:rPr>
                <w:rFonts w:cs="Times New Roman"/>
                <w:sz w:val="20"/>
                <w:szCs w:val="20"/>
              </w:rPr>
              <w:sym w:font="Wingdings" w:char="F0E0"/>
            </w:r>
            <w:r w:rsidRPr="004D57F4">
              <w:rPr>
                <w:rFonts w:cs="Times New Roman"/>
                <w:sz w:val="20"/>
                <w:szCs w:val="20"/>
              </w:rPr>
              <w:t xml:space="preserve"> DIO organizē pilno kastu pieņemšanu un transportu uz Šķirošanas centru </w:t>
            </w:r>
            <w:r w:rsidRPr="004D57F4">
              <w:rPr>
                <w:rFonts w:cs="Times New Roman"/>
                <w:sz w:val="20"/>
                <w:szCs w:val="20"/>
              </w:rPr>
              <w:sym w:font="Wingdings" w:char="F0E0"/>
            </w:r>
            <w:r w:rsidRPr="004D57F4">
              <w:rPr>
                <w:rFonts w:cs="Times New Roman"/>
                <w:sz w:val="20"/>
                <w:szCs w:val="20"/>
              </w:rPr>
              <w:t xml:space="preserve"> Depozīta iepakotājs organizē pilno kastu pieņemšanu un transportu no Šķirošanas centru</w:t>
            </w:r>
            <w:r w:rsidRPr="004D57F4">
              <w:rPr>
                <w:rFonts w:cs="Times New Roman"/>
                <w:sz w:val="20"/>
                <w:szCs w:val="20"/>
              </w:rPr>
              <w:sym w:font="Wingdings" w:char="F0E0"/>
            </w:r>
            <w:r w:rsidRPr="004D57F4">
              <w:rPr>
                <w:rFonts w:cs="Times New Roman"/>
                <w:sz w:val="20"/>
                <w:szCs w:val="20"/>
              </w:rPr>
              <w:t xml:space="preserve"> Depozīta iepakotājs nodrošina Universālā AU iepakojumu atkārtotu uzpildi.</w:t>
            </w:r>
          </w:p>
        </w:tc>
      </w:tr>
      <w:tr w:rsidR="00996381" w:rsidRPr="00093B64" w14:paraId="0663A34E" w14:textId="77777777" w:rsidTr="00D52BE9">
        <w:trPr>
          <w:gridAfter w:val="1"/>
          <w:wAfter w:w="82" w:type="dxa"/>
        </w:trPr>
        <w:tc>
          <w:tcPr>
            <w:tcW w:w="9924" w:type="dxa"/>
            <w:gridSpan w:val="2"/>
          </w:tcPr>
          <w:p w14:paraId="377CA53A" w14:textId="77777777" w:rsidR="00996381" w:rsidRPr="004D57F4" w:rsidRDefault="00996381" w:rsidP="00996381">
            <w:pPr>
              <w:pStyle w:val="SLONormal"/>
              <w:numPr>
                <w:ilvl w:val="0"/>
                <w:numId w:val="8"/>
              </w:numPr>
              <w:ind w:left="604" w:hanging="570"/>
              <w:rPr>
                <w:sz w:val="20"/>
                <w:szCs w:val="20"/>
              </w:rPr>
            </w:pPr>
            <w:r w:rsidRPr="004D57F4">
              <w:rPr>
                <w:sz w:val="20"/>
                <w:szCs w:val="20"/>
                <w:lang w:val="lv-LV" w:bidi="lv-LV"/>
              </w:rPr>
              <w:t>Universālais AU iepakojums tiks uzglabāts un transportēts ar sekojošiem transportēšanas materiāliem (turpmāk – “</w:t>
            </w:r>
            <w:r w:rsidRPr="004D57F4">
              <w:rPr>
                <w:b/>
                <w:bCs/>
                <w:sz w:val="20"/>
                <w:szCs w:val="20"/>
                <w:lang w:val="lv-LV" w:bidi="lv-LV"/>
              </w:rPr>
              <w:t>Transportēšanas materiāli</w:t>
            </w:r>
            <w:r w:rsidRPr="004D57F4">
              <w:rPr>
                <w:sz w:val="20"/>
                <w:szCs w:val="20"/>
                <w:lang w:val="lv-LV" w:bidi="lv-LV"/>
              </w:rPr>
              <w:t>”):</w:t>
            </w:r>
          </w:p>
          <w:p w14:paraId="4A138E01" w14:textId="77777777" w:rsidR="00996381" w:rsidRDefault="00996381" w:rsidP="00996381">
            <w:pPr>
              <w:pStyle w:val="ListParagraph"/>
              <w:numPr>
                <w:ilvl w:val="1"/>
                <w:numId w:val="8"/>
              </w:numPr>
              <w:spacing w:before="120" w:after="120"/>
              <w:jc w:val="both"/>
              <w:rPr>
                <w:rFonts w:cs="Times New Roman"/>
                <w:sz w:val="20"/>
                <w:szCs w:val="20"/>
                <w:lang w:val="lv-LV" w:bidi="lv-LV"/>
              </w:rPr>
            </w:pPr>
            <w:r w:rsidRPr="004D57F4">
              <w:rPr>
                <w:rFonts w:cs="Times New Roman"/>
                <w:sz w:val="20"/>
                <w:szCs w:val="20"/>
                <w:lang w:val="lv-LV"/>
              </w:rPr>
              <w:t>Kastes – izmērs 400x300x2900mm, plastmasas kaste, 20 pudeļu ietilpība;</w:t>
            </w:r>
          </w:p>
          <w:p w14:paraId="09511372" w14:textId="4D297252" w:rsidR="00996381" w:rsidRPr="00996381" w:rsidRDefault="00996381" w:rsidP="00996381">
            <w:pPr>
              <w:pStyle w:val="ListParagraph"/>
              <w:numPr>
                <w:ilvl w:val="1"/>
                <w:numId w:val="8"/>
              </w:numPr>
              <w:spacing w:before="120" w:after="120"/>
              <w:jc w:val="both"/>
              <w:rPr>
                <w:rFonts w:cs="Times New Roman"/>
                <w:sz w:val="20"/>
                <w:szCs w:val="20"/>
                <w:lang w:val="lv-LV" w:bidi="lv-LV"/>
              </w:rPr>
            </w:pPr>
            <w:r w:rsidRPr="00996381">
              <w:rPr>
                <w:sz w:val="20"/>
                <w:szCs w:val="20"/>
                <w:lang w:val="lv-LV"/>
              </w:rPr>
              <w:t xml:space="preserve">Paletes – izmērs 1200x800x144mm, atbilstoši ECR Baltic izstrādātā standarta, kas pieejams </w:t>
            </w:r>
            <w:hyperlink r:id="rId11" w:history="1">
              <w:r w:rsidRPr="00996381">
                <w:rPr>
                  <w:rStyle w:val="Hyperlink"/>
                  <w:rFonts w:cs="Times New Roman"/>
                  <w:sz w:val="20"/>
                  <w:szCs w:val="20"/>
                  <w:lang w:val="lv-LV"/>
                </w:rPr>
                <w:t>http://www.ecr-baltic.org/eurpallets/</w:t>
              </w:r>
            </w:hyperlink>
            <w:r w:rsidRPr="00996381">
              <w:rPr>
                <w:sz w:val="20"/>
                <w:szCs w:val="20"/>
                <w:lang w:val="lv-LV"/>
              </w:rPr>
              <w:t>.</w:t>
            </w:r>
          </w:p>
        </w:tc>
      </w:tr>
      <w:tr w:rsidR="005E4B42" w:rsidRPr="00093B64" w14:paraId="1050068C" w14:textId="77777777" w:rsidTr="00D52BE9">
        <w:trPr>
          <w:gridAfter w:val="1"/>
          <w:wAfter w:w="82" w:type="dxa"/>
        </w:trPr>
        <w:tc>
          <w:tcPr>
            <w:tcW w:w="9924" w:type="dxa"/>
            <w:gridSpan w:val="2"/>
          </w:tcPr>
          <w:p w14:paraId="2A4B5773" w14:textId="43D3D62F" w:rsidR="00CF31D0" w:rsidRPr="004D57F4" w:rsidRDefault="00CF31D0" w:rsidP="00996381">
            <w:pPr>
              <w:pStyle w:val="ListParagraph"/>
              <w:numPr>
                <w:ilvl w:val="0"/>
                <w:numId w:val="11"/>
              </w:numPr>
              <w:tabs>
                <w:tab w:val="left" w:pos="604"/>
              </w:tabs>
              <w:spacing w:after="120" w:line="276" w:lineRule="auto"/>
              <w:ind w:left="604" w:hanging="617"/>
              <w:jc w:val="both"/>
              <w:rPr>
                <w:rFonts w:cs="Times New Roman"/>
                <w:sz w:val="20"/>
                <w:szCs w:val="20"/>
                <w:lang w:val="lv-LV"/>
              </w:rPr>
            </w:pPr>
            <w:r w:rsidRPr="004D57F4">
              <w:rPr>
                <w:rFonts w:cs="Times New Roman"/>
                <w:sz w:val="20"/>
                <w:szCs w:val="20"/>
                <w:lang w:val="lv-LV"/>
              </w:rPr>
              <w:t>Universālā</w:t>
            </w:r>
            <w:r w:rsidR="00996381">
              <w:rPr>
                <w:rFonts w:cs="Times New Roman"/>
                <w:sz w:val="20"/>
                <w:szCs w:val="20"/>
                <w:lang w:val="lv-LV"/>
              </w:rPr>
              <w:t xml:space="preserve"> AU</w:t>
            </w:r>
            <w:r w:rsidRPr="004D57F4">
              <w:rPr>
                <w:rFonts w:cs="Times New Roman"/>
                <w:sz w:val="20"/>
                <w:szCs w:val="20"/>
                <w:lang w:val="lv-LV"/>
              </w:rPr>
              <w:t xml:space="preserve"> iepakojuma Transportēšanas materiālu (kastu un palešu) aprite notiks sekojoši:</w:t>
            </w:r>
          </w:p>
          <w:p w14:paraId="0C927E76" w14:textId="78E4E2CC" w:rsidR="00137CF2" w:rsidRPr="004D57F4" w:rsidRDefault="00CF31D0" w:rsidP="00996381">
            <w:pPr>
              <w:spacing w:line="276" w:lineRule="auto"/>
              <w:ind w:left="604"/>
              <w:jc w:val="both"/>
              <w:rPr>
                <w:rFonts w:cs="Times New Roman"/>
                <w:sz w:val="20"/>
                <w:szCs w:val="20"/>
              </w:rPr>
            </w:pPr>
            <w:r w:rsidRPr="004D57F4">
              <w:rPr>
                <w:rFonts w:cs="Times New Roman"/>
                <w:sz w:val="20"/>
                <w:szCs w:val="20"/>
              </w:rPr>
              <w:t xml:space="preserve">Depozīta iepakotājs piegādā dzērienus Pārdevējam kastēs  </w:t>
            </w:r>
            <w:r w:rsidRPr="004D57F4">
              <w:rPr>
                <w:rFonts w:cs="Times New Roman"/>
                <w:sz w:val="20"/>
                <w:szCs w:val="20"/>
              </w:rPr>
              <w:sym w:font="Wingdings" w:char="F0E0"/>
            </w:r>
            <w:r w:rsidRPr="004D57F4">
              <w:rPr>
                <w:rFonts w:cs="Times New Roman"/>
                <w:sz w:val="20"/>
                <w:szCs w:val="20"/>
              </w:rPr>
              <w:t xml:space="preserve"> Pārdevējs pārdod pudeles gala lietotājiem </w:t>
            </w:r>
            <w:r w:rsidRPr="004D57F4">
              <w:rPr>
                <w:rFonts w:cs="Times New Roman"/>
                <w:sz w:val="20"/>
                <w:szCs w:val="20"/>
              </w:rPr>
              <w:sym w:font="Wingdings" w:char="F0E0"/>
            </w:r>
            <w:r w:rsidRPr="004D57F4">
              <w:rPr>
                <w:rFonts w:cs="Times New Roman"/>
                <w:sz w:val="20"/>
                <w:szCs w:val="20"/>
              </w:rPr>
              <w:t xml:space="preserve"> Gala lietotājs pudeles atdod </w:t>
            </w:r>
            <w:r w:rsidR="006A0EC9" w:rsidRPr="004D57F4">
              <w:rPr>
                <w:rFonts w:cs="Times New Roman"/>
                <w:sz w:val="20"/>
                <w:szCs w:val="20"/>
              </w:rPr>
              <w:t>Pieņemšanas</w:t>
            </w:r>
            <w:r w:rsidRPr="004D57F4">
              <w:rPr>
                <w:rFonts w:cs="Times New Roman"/>
                <w:sz w:val="20"/>
                <w:szCs w:val="20"/>
              </w:rPr>
              <w:t xml:space="preserve"> vietā </w:t>
            </w:r>
            <w:r w:rsidRPr="004D57F4">
              <w:rPr>
                <w:rFonts w:cs="Times New Roman"/>
                <w:sz w:val="20"/>
                <w:szCs w:val="20"/>
              </w:rPr>
              <w:sym w:font="Wingdings" w:char="F0E0"/>
            </w:r>
            <w:r w:rsidRPr="004D57F4">
              <w:rPr>
                <w:rFonts w:cs="Times New Roman"/>
                <w:sz w:val="20"/>
                <w:szCs w:val="20"/>
              </w:rPr>
              <w:t xml:space="preserve"> </w:t>
            </w:r>
            <w:r w:rsidR="006A0EC9" w:rsidRPr="004D57F4">
              <w:rPr>
                <w:rFonts w:cs="Times New Roman"/>
                <w:sz w:val="20"/>
                <w:szCs w:val="20"/>
              </w:rPr>
              <w:t>Pieņemšanas vieta</w:t>
            </w:r>
            <w:r w:rsidRPr="004D57F4">
              <w:rPr>
                <w:rFonts w:cs="Times New Roman"/>
                <w:sz w:val="20"/>
                <w:szCs w:val="20"/>
              </w:rPr>
              <w:t xml:space="preserve"> organizē pudeļu pieņemšanu </w:t>
            </w:r>
            <w:r w:rsidRPr="004D57F4">
              <w:rPr>
                <w:rFonts w:cs="Times New Roman"/>
                <w:sz w:val="20"/>
                <w:szCs w:val="20"/>
              </w:rPr>
              <w:sym w:font="Wingdings" w:char="F0E0"/>
            </w:r>
            <w:r w:rsidRPr="004D57F4">
              <w:rPr>
                <w:rFonts w:cs="Times New Roman"/>
                <w:sz w:val="20"/>
                <w:szCs w:val="20"/>
              </w:rPr>
              <w:t xml:space="preserve"> </w:t>
            </w:r>
            <w:r w:rsidR="006A0EC9" w:rsidRPr="004D57F4">
              <w:rPr>
                <w:rFonts w:cs="Times New Roman"/>
                <w:sz w:val="20"/>
                <w:szCs w:val="20"/>
              </w:rPr>
              <w:t>Pieņemšanas vieta</w:t>
            </w:r>
            <w:r w:rsidRPr="004D57F4">
              <w:rPr>
                <w:rFonts w:cs="Times New Roman"/>
                <w:sz w:val="20"/>
                <w:szCs w:val="20"/>
              </w:rPr>
              <w:t xml:space="preserve"> Universālo </w:t>
            </w:r>
            <w:r w:rsidR="008239F3" w:rsidRPr="004D57F4">
              <w:rPr>
                <w:rFonts w:cs="Times New Roman"/>
                <w:sz w:val="20"/>
                <w:szCs w:val="20"/>
              </w:rPr>
              <w:t xml:space="preserve">AU </w:t>
            </w:r>
            <w:r w:rsidRPr="004D57F4">
              <w:rPr>
                <w:rFonts w:cs="Times New Roman"/>
                <w:sz w:val="20"/>
                <w:szCs w:val="20"/>
              </w:rPr>
              <w:t>iepakojumu ievieto standarta kastēs</w:t>
            </w:r>
            <w:r w:rsidR="00C36A6E" w:rsidRPr="004D57F4">
              <w:rPr>
                <w:rFonts w:cs="Times New Roman"/>
                <w:sz w:val="20"/>
                <w:szCs w:val="20"/>
              </w:rPr>
              <w:t>, ja nepieciešams uz standarta paletēm</w:t>
            </w:r>
            <w:r w:rsidRPr="004D57F4">
              <w:rPr>
                <w:rFonts w:cs="Times New Roman"/>
                <w:sz w:val="20"/>
                <w:szCs w:val="20"/>
              </w:rPr>
              <w:t xml:space="preserve"> </w:t>
            </w:r>
            <w:r w:rsidRPr="004D57F4">
              <w:rPr>
                <w:rFonts w:cs="Times New Roman"/>
                <w:sz w:val="20"/>
                <w:szCs w:val="20"/>
              </w:rPr>
              <w:sym w:font="Wingdings" w:char="F0E0"/>
            </w:r>
            <w:r w:rsidRPr="004D57F4">
              <w:rPr>
                <w:rFonts w:cs="Times New Roman"/>
                <w:sz w:val="20"/>
                <w:szCs w:val="20"/>
              </w:rPr>
              <w:t xml:space="preserve"> </w:t>
            </w:r>
            <w:r w:rsidR="006A0EC9" w:rsidRPr="004D57F4">
              <w:rPr>
                <w:rFonts w:cs="Times New Roman"/>
                <w:sz w:val="20"/>
                <w:szCs w:val="20"/>
              </w:rPr>
              <w:t>Pieņemšanas vieta</w:t>
            </w:r>
            <w:r w:rsidRPr="004D57F4">
              <w:rPr>
                <w:rFonts w:cs="Times New Roman"/>
                <w:sz w:val="20"/>
                <w:szCs w:val="20"/>
              </w:rPr>
              <w:t xml:space="preserve"> noformē pavaddokumentu, kurā norāda Transportēšanas materiālu skaitu un vērtību </w:t>
            </w:r>
            <w:r w:rsidRPr="004D57F4">
              <w:rPr>
                <w:rFonts w:cs="Times New Roman"/>
                <w:sz w:val="20"/>
                <w:szCs w:val="20"/>
              </w:rPr>
              <w:sym w:font="Wingdings" w:char="F0E0"/>
            </w:r>
            <w:r w:rsidRPr="004D57F4">
              <w:rPr>
                <w:rFonts w:cs="Times New Roman"/>
                <w:sz w:val="20"/>
                <w:szCs w:val="20"/>
              </w:rPr>
              <w:t xml:space="preserve"> DIO p</w:t>
            </w:r>
            <w:r w:rsidR="007852F5">
              <w:rPr>
                <w:rFonts w:cs="Times New Roman"/>
                <w:sz w:val="20"/>
                <w:szCs w:val="20"/>
              </w:rPr>
              <w:t>a</w:t>
            </w:r>
            <w:r w:rsidRPr="004D57F4">
              <w:rPr>
                <w:rFonts w:cs="Times New Roman"/>
                <w:sz w:val="20"/>
                <w:szCs w:val="20"/>
              </w:rPr>
              <w:t xml:space="preserve">ņem Universālo </w:t>
            </w:r>
            <w:r w:rsidR="008A7A5E">
              <w:rPr>
                <w:rFonts w:cs="Times New Roman"/>
                <w:sz w:val="20"/>
                <w:szCs w:val="20"/>
              </w:rPr>
              <w:t xml:space="preserve">AU </w:t>
            </w:r>
            <w:r w:rsidRPr="004D57F4">
              <w:rPr>
                <w:rFonts w:cs="Times New Roman"/>
                <w:sz w:val="20"/>
                <w:szCs w:val="20"/>
              </w:rPr>
              <w:t xml:space="preserve">iepakojumu un Transportēšanas materiālus atbilstoši </w:t>
            </w:r>
            <w:r w:rsidR="00003463">
              <w:rPr>
                <w:rFonts w:cs="Times New Roman"/>
                <w:sz w:val="20"/>
                <w:szCs w:val="20"/>
              </w:rPr>
              <w:t>to</w:t>
            </w:r>
            <w:r w:rsidRPr="004D57F4">
              <w:rPr>
                <w:rFonts w:cs="Times New Roman"/>
                <w:sz w:val="20"/>
                <w:szCs w:val="20"/>
              </w:rPr>
              <w:t xml:space="preserve"> vērtībai </w:t>
            </w:r>
            <w:r w:rsidRPr="004D57F4">
              <w:rPr>
                <w:rFonts w:cs="Times New Roman"/>
                <w:sz w:val="20"/>
                <w:szCs w:val="20"/>
              </w:rPr>
              <w:sym w:font="Wingdings" w:char="F0E0"/>
            </w:r>
            <w:r w:rsidRPr="004D57F4">
              <w:rPr>
                <w:rFonts w:cs="Times New Roman"/>
                <w:sz w:val="20"/>
                <w:szCs w:val="20"/>
              </w:rPr>
              <w:t xml:space="preserve"> DIO nodod Universālo </w:t>
            </w:r>
            <w:r w:rsidR="008239F3" w:rsidRPr="004D57F4">
              <w:rPr>
                <w:rFonts w:cs="Times New Roman"/>
                <w:sz w:val="20"/>
                <w:szCs w:val="20"/>
              </w:rPr>
              <w:t xml:space="preserve">AU </w:t>
            </w:r>
            <w:r w:rsidRPr="004D57F4">
              <w:rPr>
                <w:rFonts w:cs="Times New Roman"/>
                <w:sz w:val="20"/>
                <w:szCs w:val="20"/>
              </w:rPr>
              <w:t>iepakojumu un Transportēšanas materiālus, atbilstoši to vērtībai, Depozīta iepakotājam</w:t>
            </w:r>
            <w:r w:rsidR="0053592D" w:rsidRPr="004D57F4">
              <w:rPr>
                <w:rFonts w:cs="Times New Roman"/>
                <w:sz w:val="20"/>
                <w:szCs w:val="20"/>
              </w:rPr>
              <w:t>.</w:t>
            </w:r>
          </w:p>
          <w:p w14:paraId="42249409" w14:textId="4A6CB17B" w:rsidR="005E4B42" w:rsidRPr="004D57F4" w:rsidRDefault="00750E30" w:rsidP="00996381">
            <w:pPr>
              <w:spacing w:before="120" w:after="120"/>
              <w:ind w:left="604"/>
              <w:jc w:val="both"/>
              <w:rPr>
                <w:rFonts w:cs="Times New Roman"/>
                <w:sz w:val="20"/>
                <w:szCs w:val="20"/>
                <w:lang w:val="lv-LV" w:bidi="lv-LV"/>
              </w:rPr>
            </w:pPr>
            <w:r w:rsidRPr="004D57F4">
              <w:rPr>
                <w:rFonts w:cs="Times New Roman"/>
                <w:sz w:val="20"/>
                <w:szCs w:val="20"/>
                <w:lang w:val="lv-LV" w:bidi="lv-LV"/>
              </w:rPr>
              <w:t xml:space="preserve">Universālā </w:t>
            </w:r>
            <w:r w:rsidR="005657A2" w:rsidRPr="004D57F4">
              <w:rPr>
                <w:rFonts w:cs="Times New Roman"/>
                <w:sz w:val="20"/>
                <w:szCs w:val="20"/>
                <w:lang w:val="lv-LV" w:bidi="lv-LV"/>
              </w:rPr>
              <w:t xml:space="preserve">AU </w:t>
            </w:r>
            <w:r w:rsidRPr="004D57F4">
              <w:rPr>
                <w:rFonts w:cs="Times New Roman"/>
                <w:sz w:val="20"/>
                <w:szCs w:val="20"/>
                <w:lang w:val="lv-LV" w:bidi="lv-LV"/>
              </w:rPr>
              <w:t>iepakojuma transportēšanai tiek izmantotas tās pašas kastes un paletes, kurās Depozīta iepakotājs piegādā Pārdevējam dzērienus Universālajā iepakojumā.</w:t>
            </w:r>
          </w:p>
        </w:tc>
      </w:tr>
      <w:tr w:rsidR="00996381" w:rsidRPr="00093B64" w14:paraId="0FF6D0CE" w14:textId="77777777" w:rsidTr="00D52BE9">
        <w:trPr>
          <w:gridAfter w:val="1"/>
          <w:wAfter w:w="82" w:type="dxa"/>
        </w:trPr>
        <w:tc>
          <w:tcPr>
            <w:tcW w:w="9924" w:type="dxa"/>
            <w:gridSpan w:val="2"/>
          </w:tcPr>
          <w:p w14:paraId="56D04BBF" w14:textId="0AB53054" w:rsidR="00996381" w:rsidRPr="004D57F4" w:rsidRDefault="00996381" w:rsidP="00996381">
            <w:pPr>
              <w:pStyle w:val="ListParagraph"/>
              <w:numPr>
                <w:ilvl w:val="0"/>
                <w:numId w:val="11"/>
              </w:numPr>
              <w:tabs>
                <w:tab w:val="left" w:pos="604"/>
              </w:tabs>
              <w:spacing w:after="120" w:line="276" w:lineRule="auto"/>
              <w:ind w:left="604" w:hanging="617"/>
              <w:jc w:val="both"/>
              <w:rPr>
                <w:rFonts w:cs="Times New Roman"/>
                <w:sz w:val="20"/>
                <w:szCs w:val="20"/>
                <w:lang w:val="lv-LV"/>
              </w:rPr>
            </w:pPr>
            <w:r w:rsidRPr="004D57F4">
              <w:rPr>
                <w:rFonts w:cs="Times New Roman"/>
                <w:sz w:val="20"/>
                <w:szCs w:val="20"/>
                <w:lang w:val="lv-LV"/>
              </w:rPr>
              <w:t>DIO pienākumi:</w:t>
            </w:r>
          </w:p>
        </w:tc>
      </w:tr>
      <w:tr w:rsidR="005E4B42" w:rsidRPr="002A2C7A" w14:paraId="549A7355" w14:textId="77777777" w:rsidTr="00D52BE9">
        <w:trPr>
          <w:gridAfter w:val="1"/>
          <w:wAfter w:w="82" w:type="dxa"/>
        </w:trPr>
        <w:tc>
          <w:tcPr>
            <w:tcW w:w="9924" w:type="dxa"/>
            <w:gridSpan w:val="2"/>
          </w:tcPr>
          <w:p w14:paraId="225A0D93" w14:textId="75463746" w:rsidR="00016E1D" w:rsidRPr="002A2C7A" w:rsidRDefault="00CC331C" w:rsidP="00996381">
            <w:pPr>
              <w:pStyle w:val="ListParagraph"/>
              <w:numPr>
                <w:ilvl w:val="1"/>
                <w:numId w:val="11"/>
              </w:numPr>
              <w:spacing w:before="120" w:after="120"/>
              <w:ind w:hanging="476"/>
              <w:contextualSpacing w:val="0"/>
              <w:jc w:val="both"/>
              <w:rPr>
                <w:rFonts w:cs="Times New Roman"/>
                <w:sz w:val="20"/>
                <w:szCs w:val="20"/>
                <w:lang w:val="lv-LV"/>
              </w:rPr>
            </w:pPr>
            <w:r w:rsidRPr="002A2C7A">
              <w:rPr>
                <w:rFonts w:cs="Times New Roman"/>
                <w:sz w:val="20"/>
                <w:szCs w:val="20"/>
                <w:lang w:val="lv-LV"/>
              </w:rPr>
              <w:t>n</w:t>
            </w:r>
            <w:r w:rsidR="00F24649" w:rsidRPr="002A2C7A">
              <w:rPr>
                <w:rFonts w:cs="Times New Roman"/>
                <w:sz w:val="20"/>
                <w:szCs w:val="20"/>
                <w:lang w:val="lv-LV"/>
              </w:rPr>
              <w:t>odrošin</w:t>
            </w:r>
            <w:r w:rsidR="002C242F" w:rsidRPr="002A2C7A">
              <w:rPr>
                <w:rFonts w:cs="Times New Roman"/>
                <w:sz w:val="20"/>
                <w:szCs w:val="20"/>
                <w:lang w:val="lv-LV"/>
              </w:rPr>
              <w:t>āt</w:t>
            </w:r>
            <w:r w:rsidR="00F24649" w:rsidRPr="002A2C7A">
              <w:rPr>
                <w:rFonts w:cs="Times New Roman"/>
                <w:sz w:val="20"/>
                <w:szCs w:val="20"/>
                <w:lang w:val="lv-LV"/>
              </w:rPr>
              <w:t xml:space="preserve"> Universālā </w:t>
            </w:r>
            <w:r w:rsidR="004A28FC" w:rsidRPr="002A2C7A">
              <w:rPr>
                <w:rFonts w:cs="Times New Roman"/>
                <w:sz w:val="20"/>
                <w:szCs w:val="20"/>
                <w:lang w:val="lv-LV"/>
              </w:rPr>
              <w:t xml:space="preserve">AU </w:t>
            </w:r>
            <w:r w:rsidR="00F24649" w:rsidRPr="002A2C7A">
              <w:rPr>
                <w:rFonts w:cs="Times New Roman"/>
                <w:sz w:val="20"/>
                <w:szCs w:val="20"/>
                <w:lang w:val="lv-LV"/>
              </w:rPr>
              <w:t xml:space="preserve">iepakojuma tirgū laistā apjoma uzskaiti visiem Depozīta iepakotājiem, kas ir </w:t>
            </w:r>
            <w:r w:rsidR="000606EB" w:rsidRPr="002A2C7A">
              <w:rPr>
                <w:rFonts w:cs="Times New Roman"/>
                <w:sz w:val="20"/>
                <w:szCs w:val="20"/>
                <w:lang w:val="lv-LV"/>
              </w:rPr>
              <w:t xml:space="preserve">parakstījuši </w:t>
            </w:r>
            <w:r w:rsidR="002C242F" w:rsidRPr="002A2C7A">
              <w:rPr>
                <w:rFonts w:cs="Times New Roman"/>
                <w:sz w:val="20"/>
                <w:szCs w:val="20"/>
                <w:lang w:val="lv-LV"/>
              </w:rPr>
              <w:t>V</w:t>
            </w:r>
            <w:r w:rsidR="000606EB" w:rsidRPr="002A2C7A">
              <w:rPr>
                <w:rFonts w:cs="Times New Roman"/>
                <w:sz w:val="20"/>
                <w:szCs w:val="20"/>
                <w:lang w:val="lv-LV"/>
              </w:rPr>
              <w:t xml:space="preserve">ienošanos </w:t>
            </w:r>
            <w:r w:rsidR="000D4B2A" w:rsidRPr="002A2C7A">
              <w:rPr>
                <w:rFonts w:cs="Times New Roman"/>
                <w:sz w:val="20"/>
                <w:szCs w:val="20"/>
                <w:lang w:val="lv-LV"/>
              </w:rPr>
              <w:t xml:space="preserve">par </w:t>
            </w:r>
            <w:r w:rsidR="002C242F" w:rsidRPr="002A2C7A">
              <w:rPr>
                <w:rFonts w:cs="Times New Roman"/>
                <w:sz w:val="20"/>
                <w:szCs w:val="20"/>
                <w:lang w:val="lv-LV"/>
              </w:rPr>
              <w:t xml:space="preserve">Universālā </w:t>
            </w:r>
            <w:r w:rsidR="006106F7" w:rsidRPr="002A2C7A">
              <w:rPr>
                <w:rFonts w:cs="Times New Roman"/>
                <w:sz w:val="20"/>
                <w:szCs w:val="20"/>
                <w:lang w:val="lv-LV"/>
              </w:rPr>
              <w:t xml:space="preserve">AU </w:t>
            </w:r>
            <w:r w:rsidR="00727F70" w:rsidRPr="002A2C7A">
              <w:rPr>
                <w:rFonts w:cs="Times New Roman"/>
                <w:sz w:val="20"/>
                <w:szCs w:val="20"/>
                <w:lang w:val="lv-LV"/>
              </w:rPr>
              <w:t>i</w:t>
            </w:r>
            <w:r w:rsidR="002C242F" w:rsidRPr="002A2C7A">
              <w:rPr>
                <w:rFonts w:cs="Times New Roman"/>
                <w:sz w:val="20"/>
                <w:szCs w:val="20"/>
                <w:lang w:val="lv-LV"/>
              </w:rPr>
              <w:t>epakojuma apriti;</w:t>
            </w:r>
          </w:p>
          <w:p w14:paraId="219E36D5" w14:textId="6C8EFC23" w:rsidR="005E4B42" w:rsidRPr="00426534" w:rsidRDefault="00CC331C" w:rsidP="00996381">
            <w:pPr>
              <w:pStyle w:val="ListParagraph"/>
              <w:numPr>
                <w:ilvl w:val="1"/>
                <w:numId w:val="11"/>
              </w:numPr>
              <w:spacing w:before="120" w:after="120"/>
              <w:ind w:hanging="476"/>
              <w:contextualSpacing w:val="0"/>
              <w:jc w:val="both"/>
              <w:rPr>
                <w:rFonts w:cs="Times New Roman"/>
                <w:sz w:val="20"/>
                <w:szCs w:val="20"/>
                <w:lang w:val="lv-LV"/>
              </w:rPr>
            </w:pPr>
            <w:r w:rsidRPr="002A2C7A">
              <w:rPr>
                <w:rFonts w:cs="Times New Roman"/>
                <w:sz w:val="20"/>
                <w:szCs w:val="20"/>
                <w:lang w:val="lv-LV"/>
              </w:rPr>
              <w:t>n</w:t>
            </w:r>
            <w:r w:rsidR="005E4B42" w:rsidRPr="002A2C7A">
              <w:rPr>
                <w:rFonts w:cs="Times New Roman"/>
                <w:sz w:val="20"/>
                <w:szCs w:val="20"/>
                <w:lang w:val="lv-LV"/>
              </w:rPr>
              <w:t xml:space="preserve">odrošināt Universālā </w:t>
            </w:r>
            <w:r w:rsidR="00213130" w:rsidRPr="002A2C7A">
              <w:rPr>
                <w:rFonts w:cs="Times New Roman"/>
                <w:sz w:val="20"/>
                <w:szCs w:val="20"/>
                <w:lang w:val="lv-LV"/>
              </w:rPr>
              <w:t xml:space="preserve">AU </w:t>
            </w:r>
            <w:r w:rsidR="005E4B42" w:rsidRPr="002A2C7A">
              <w:rPr>
                <w:rFonts w:cs="Times New Roman"/>
                <w:sz w:val="20"/>
                <w:szCs w:val="20"/>
                <w:lang w:val="lv-LV"/>
              </w:rPr>
              <w:t>iepakojuma pieņemšanu, transportēšanu un uzskaiti Šķirošanas centrā atbilstoši Līguma nosacījumiem, kā arī norēķinu veikšanu ar Pārdevējiem par Un</w:t>
            </w:r>
            <w:r w:rsidR="005E4B42" w:rsidRPr="00426534">
              <w:rPr>
                <w:rFonts w:cs="Times New Roman"/>
                <w:sz w:val="20"/>
                <w:szCs w:val="20"/>
                <w:lang w:val="lv-LV"/>
              </w:rPr>
              <w:t xml:space="preserve">iversālā </w:t>
            </w:r>
            <w:r w:rsidR="00213130" w:rsidRPr="00426534">
              <w:rPr>
                <w:rFonts w:cs="Times New Roman"/>
                <w:sz w:val="20"/>
                <w:szCs w:val="20"/>
                <w:lang w:val="lv-LV"/>
              </w:rPr>
              <w:t xml:space="preserve">AU </w:t>
            </w:r>
            <w:r w:rsidR="005E4B42" w:rsidRPr="00426534">
              <w:rPr>
                <w:rFonts w:cs="Times New Roman"/>
                <w:sz w:val="20"/>
                <w:szCs w:val="20"/>
                <w:lang w:val="lv-LV"/>
              </w:rPr>
              <w:t>iepakojuma pieņemšanu;</w:t>
            </w:r>
          </w:p>
          <w:p w14:paraId="05D7FBAF" w14:textId="77777777" w:rsidR="00DE7EBF" w:rsidRPr="00426534" w:rsidRDefault="00016E1D" w:rsidP="00996381">
            <w:pPr>
              <w:pStyle w:val="ListParagraph"/>
              <w:numPr>
                <w:ilvl w:val="1"/>
                <w:numId w:val="11"/>
              </w:numPr>
              <w:spacing w:before="120" w:after="120"/>
              <w:ind w:hanging="476"/>
              <w:contextualSpacing w:val="0"/>
              <w:jc w:val="both"/>
              <w:rPr>
                <w:rFonts w:cs="Times New Roman"/>
                <w:sz w:val="20"/>
                <w:szCs w:val="20"/>
                <w:lang w:val="lv-LV"/>
              </w:rPr>
            </w:pPr>
            <w:r w:rsidRPr="00426534">
              <w:rPr>
                <w:rFonts w:cs="Times New Roman"/>
                <w:sz w:val="20"/>
                <w:szCs w:val="20"/>
                <w:lang w:val="lv-LV"/>
              </w:rPr>
              <w:lastRenderedPageBreak/>
              <w:t xml:space="preserve">veikt Universālā AU iepakojuma proporcionālu sadali starp visiem Depozīta iepakotājiem, kuri laiž tirgū produktus Universālajā AU iepakojumā, atbilstoši to tirgū laistā Universālā AU iepakojuma daudzumam; </w:t>
            </w:r>
            <w:r w:rsidRPr="00426534">
              <w:rPr>
                <w:rFonts w:cs="Times New Roman"/>
                <w:sz w:val="20"/>
                <w:szCs w:val="20"/>
              </w:rPr>
              <w:t xml:space="preserve">Sadales proporcija tiek noteikta uz vienu (nākamo) kalendāro mēnesi, saskaņā ar iepriekšējo </w:t>
            </w:r>
            <w:r w:rsidR="009D3BFB" w:rsidRPr="00426534">
              <w:rPr>
                <w:rFonts w:cs="Times New Roman"/>
                <w:b/>
                <w:bCs/>
                <w:sz w:val="20"/>
                <w:szCs w:val="20"/>
              </w:rPr>
              <w:t xml:space="preserve">3 </w:t>
            </w:r>
            <w:r w:rsidRPr="00426534">
              <w:rPr>
                <w:rFonts w:cs="Times New Roman"/>
                <w:b/>
                <w:bCs/>
                <w:sz w:val="20"/>
                <w:szCs w:val="20"/>
              </w:rPr>
              <w:t xml:space="preserve">mēnešu perioda </w:t>
            </w:r>
            <w:r w:rsidR="003F1DB2" w:rsidRPr="00426534">
              <w:rPr>
                <w:rFonts w:cs="Times New Roman"/>
                <w:b/>
                <w:bCs/>
                <w:sz w:val="20"/>
                <w:szCs w:val="20"/>
              </w:rPr>
              <w:t>tirgū laistiem</w:t>
            </w:r>
            <w:r w:rsidRPr="00426534">
              <w:rPr>
                <w:rFonts w:cs="Times New Roman"/>
                <w:b/>
                <w:bCs/>
                <w:sz w:val="20"/>
                <w:szCs w:val="20"/>
              </w:rPr>
              <w:t xml:space="preserve"> apjomiem (Rolling </w:t>
            </w:r>
            <w:r w:rsidR="009D3BFB" w:rsidRPr="00426534">
              <w:rPr>
                <w:rFonts w:cs="Times New Roman"/>
                <w:b/>
                <w:bCs/>
                <w:sz w:val="20"/>
                <w:szCs w:val="20"/>
              </w:rPr>
              <w:t xml:space="preserve">3 </w:t>
            </w:r>
            <w:r w:rsidRPr="00426534">
              <w:rPr>
                <w:rFonts w:cs="Times New Roman"/>
                <w:b/>
                <w:bCs/>
                <w:sz w:val="20"/>
                <w:szCs w:val="20"/>
              </w:rPr>
              <w:t>months),</w:t>
            </w:r>
            <w:r w:rsidRPr="00426534">
              <w:rPr>
                <w:rFonts w:cs="Times New Roman"/>
                <w:sz w:val="20"/>
                <w:szCs w:val="20"/>
              </w:rPr>
              <w:t xml:space="preserve"> kā pēdējo mēnesi periodā ieskaitot iepriekšējo pilno mēnesi. Piemēram, 2023.gada aprīlī tiks rēķināti 2023.gada maijā izmantojamie sadales principi saskaņā ar Depozīta sistēmas datiem par periodu no </w:t>
            </w:r>
            <w:r w:rsidR="0003641C" w:rsidRPr="00426534">
              <w:rPr>
                <w:rFonts w:cs="Times New Roman"/>
                <w:sz w:val="20"/>
                <w:szCs w:val="20"/>
              </w:rPr>
              <w:t>2023</w:t>
            </w:r>
            <w:r w:rsidRPr="00426534">
              <w:rPr>
                <w:rFonts w:cs="Times New Roman"/>
                <w:sz w:val="20"/>
                <w:szCs w:val="20"/>
              </w:rPr>
              <w:t xml:space="preserve">.gada </w:t>
            </w:r>
            <w:r w:rsidR="0003641C" w:rsidRPr="00426534">
              <w:rPr>
                <w:rFonts w:cs="Times New Roman"/>
                <w:sz w:val="20"/>
                <w:szCs w:val="20"/>
              </w:rPr>
              <w:t xml:space="preserve">janvāri </w:t>
            </w:r>
            <w:r w:rsidRPr="00426534">
              <w:rPr>
                <w:rFonts w:cs="Times New Roman"/>
                <w:sz w:val="20"/>
                <w:szCs w:val="20"/>
              </w:rPr>
              <w:t xml:space="preserve">līdz 2023.gada martam (ieskaitot). </w:t>
            </w:r>
          </w:p>
          <w:p w14:paraId="347EE1B4" w14:textId="595704FE" w:rsidR="00016E1D" w:rsidRPr="002A2C7A" w:rsidRDefault="00A97EFC" w:rsidP="00DE7EBF">
            <w:pPr>
              <w:pStyle w:val="ListParagraph"/>
              <w:spacing w:before="120" w:after="120"/>
              <w:ind w:left="1080"/>
              <w:contextualSpacing w:val="0"/>
              <w:jc w:val="both"/>
              <w:rPr>
                <w:rFonts w:cs="Times New Roman"/>
                <w:sz w:val="20"/>
                <w:szCs w:val="20"/>
                <w:lang w:val="lv-LV"/>
              </w:rPr>
            </w:pPr>
            <w:r w:rsidRPr="00426534">
              <w:rPr>
                <w:rFonts w:cs="Times New Roman"/>
                <w:sz w:val="20"/>
                <w:szCs w:val="20"/>
              </w:rPr>
              <w:t>Depoz</w:t>
            </w:r>
            <w:r w:rsidR="00732231" w:rsidRPr="00426534">
              <w:rPr>
                <w:rFonts w:cs="Times New Roman"/>
                <w:sz w:val="20"/>
                <w:szCs w:val="20"/>
              </w:rPr>
              <w:t>ī</w:t>
            </w:r>
            <w:r w:rsidRPr="00426534">
              <w:rPr>
                <w:rFonts w:cs="Times New Roman"/>
                <w:sz w:val="20"/>
                <w:szCs w:val="20"/>
              </w:rPr>
              <w:t>ta sistēmas sākum</w:t>
            </w:r>
            <w:r w:rsidR="00337C05" w:rsidRPr="00426534">
              <w:rPr>
                <w:rFonts w:cs="Times New Roman"/>
                <w:sz w:val="20"/>
                <w:szCs w:val="20"/>
              </w:rPr>
              <w:t xml:space="preserve">ā </w:t>
            </w:r>
            <w:r w:rsidR="00016E1D" w:rsidRPr="00426534">
              <w:rPr>
                <w:rFonts w:cs="Times New Roman"/>
                <w:sz w:val="20"/>
                <w:szCs w:val="20"/>
              </w:rPr>
              <w:t xml:space="preserve">līdz </w:t>
            </w:r>
            <w:r w:rsidR="008978BB" w:rsidRPr="00426534">
              <w:rPr>
                <w:rFonts w:cs="Times New Roman"/>
                <w:sz w:val="20"/>
                <w:szCs w:val="20"/>
              </w:rPr>
              <w:t xml:space="preserve">2022.gada </w:t>
            </w:r>
            <w:r w:rsidR="000E6499" w:rsidRPr="00426534">
              <w:rPr>
                <w:rFonts w:cs="Times New Roman"/>
                <w:sz w:val="20"/>
                <w:szCs w:val="20"/>
              </w:rPr>
              <w:t>maija</w:t>
            </w:r>
            <w:r w:rsidR="000963B1" w:rsidRPr="00426534">
              <w:rPr>
                <w:rFonts w:cs="Times New Roman"/>
                <w:sz w:val="20"/>
                <w:szCs w:val="20"/>
              </w:rPr>
              <w:t xml:space="preserve"> mēnesim</w:t>
            </w:r>
            <w:r w:rsidR="001E5E2A" w:rsidRPr="00426534">
              <w:rPr>
                <w:rFonts w:cs="Times New Roman"/>
                <w:sz w:val="20"/>
                <w:szCs w:val="20"/>
              </w:rPr>
              <w:t xml:space="preserve"> (ieskaitot)</w:t>
            </w:r>
            <w:r w:rsidR="00016E1D" w:rsidRPr="00426534">
              <w:rPr>
                <w:rFonts w:cs="Times New Roman"/>
                <w:sz w:val="20"/>
                <w:szCs w:val="20"/>
              </w:rPr>
              <w:t>, kad DIO būs pieejami</w:t>
            </w:r>
            <w:r w:rsidR="005706DC" w:rsidRPr="00426534">
              <w:rPr>
                <w:rFonts w:cs="Times New Roman"/>
                <w:sz w:val="20"/>
                <w:szCs w:val="20"/>
              </w:rPr>
              <w:t xml:space="preserve"> pilni</w:t>
            </w:r>
            <w:r w:rsidR="00016E1D" w:rsidRPr="00426534">
              <w:rPr>
                <w:rFonts w:cs="Times New Roman"/>
                <w:sz w:val="20"/>
                <w:szCs w:val="20"/>
              </w:rPr>
              <w:t xml:space="preserve"> </w:t>
            </w:r>
            <w:r w:rsidR="00337C05" w:rsidRPr="00426534">
              <w:rPr>
                <w:rFonts w:cs="Times New Roman"/>
                <w:sz w:val="20"/>
                <w:szCs w:val="20"/>
              </w:rPr>
              <w:t>3 mēn</w:t>
            </w:r>
            <w:r w:rsidR="000728C9" w:rsidRPr="00426534">
              <w:rPr>
                <w:rFonts w:cs="Times New Roman"/>
                <w:sz w:val="20"/>
                <w:szCs w:val="20"/>
              </w:rPr>
              <w:t>e</w:t>
            </w:r>
            <w:r w:rsidR="00337C05" w:rsidRPr="00426534">
              <w:rPr>
                <w:rFonts w:cs="Times New Roman"/>
                <w:sz w:val="20"/>
                <w:szCs w:val="20"/>
              </w:rPr>
              <w:t xml:space="preserve">šu </w:t>
            </w:r>
            <w:r w:rsidR="00016E1D" w:rsidRPr="00426534">
              <w:rPr>
                <w:rFonts w:cs="Times New Roman"/>
                <w:sz w:val="20"/>
                <w:szCs w:val="20"/>
              </w:rPr>
              <w:t xml:space="preserve">Depozīta iepakotāju uzrādītie dati par tirgū laistajiem apjomiem, </w:t>
            </w:r>
            <w:r w:rsidR="00AF5239" w:rsidRPr="00426534">
              <w:rPr>
                <w:rFonts w:cs="Times New Roman"/>
                <w:sz w:val="20"/>
                <w:szCs w:val="20"/>
              </w:rPr>
              <w:t>Depozīta iepakojums tiks sadalīts saskaņā ar Depozīta sistēm</w:t>
            </w:r>
            <w:r w:rsidR="00674906" w:rsidRPr="00426534">
              <w:rPr>
                <w:rFonts w:cs="Times New Roman"/>
                <w:sz w:val="20"/>
                <w:szCs w:val="20"/>
              </w:rPr>
              <w:t>ā pieejamiem</w:t>
            </w:r>
            <w:r w:rsidR="00AF5239" w:rsidRPr="00426534">
              <w:rPr>
                <w:rFonts w:cs="Times New Roman"/>
                <w:sz w:val="20"/>
                <w:szCs w:val="20"/>
              </w:rPr>
              <w:t xml:space="preserve"> datiem </w:t>
            </w:r>
            <w:r w:rsidR="00D96F9C" w:rsidRPr="00426534">
              <w:rPr>
                <w:rFonts w:cs="Times New Roman"/>
                <w:sz w:val="20"/>
                <w:szCs w:val="20"/>
              </w:rPr>
              <w:t>par tirgū laist</w:t>
            </w:r>
            <w:r w:rsidR="00E00E32" w:rsidRPr="00426534">
              <w:rPr>
                <w:rFonts w:cs="Times New Roman"/>
                <w:sz w:val="20"/>
                <w:szCs w:val="20"/>
              </w:rPr>
              <w:t>ajiem</w:t>
            </w:r>
            <w:r w:rsidR="00D96F9C" w:rsidRPr="00426534">
              <w:rPr>
                <w:rFonts w:cs="Times New Roman"/>
                <w:sz w:val="20"/>
                <w:szCs w:val="20"/>
              </w:rPr>
              <w:t xml:space="preserve"> apjom</w:t>
            </w:r>
            <w:r w:rsidR="003E1A33" w:rsidRPr="00426534">
              <w:rPr>
                <w:rFonts w:cs="Times New Roman"/>
                <w:sz w:val="20"/>
                <w:szCs w:val="20"/>
              </w:rPr>
              <w:t>iem</w:t>
            </w:r>
            <w:r w:rsidR="00D96F9C" w:rsidRPr="00426534">
              <w:rPr>
                <w:rFonts w:cs="Times New Roman"/>
                <w:sz w:val="20"/>
                <w:szCs w:val="20"/>
              </w:rPr>
              <w:t xml:space="preserve"> </w:t>
            </w:r>
            <w:r w:rsidR="00EF1B19" w:rsidRPr="00426534">
              <w:rPr>
                <w:rFonts w:cs="Times New Roman"/>
                <w:sz w:val="20"/>
                <w:szCs w:val="20"/>
              </w:rPr>
              <w:t>atbilstoši Rokasgrāmat</w:t>
            </w:r>
            <w:r w:rsidR="009F2F50" w:rsidRPr="00426534">
              <w:rPr>
                <w:rFonts w:cs="Times New Roman"/>
                <w:sz w:val="20"/>
                <w:szCs w:val="20"/>
              </w:rPr>
              <w:t xml:space="preserve">ā </w:t>
            </w:r>
            <w:r w:rsidR="00FB0B7D" w:rsidRPr="00426534">
              <w:rPr>
                <w:rFonts w:cs="Times New Roman"/>
                <w:sz w:val="20"/>
                <w:szCs w:val="20"/>
                <w:lang w:val="lv-LV"/>
              </w:rPr>
              <w:t>Par atkārtoti lietojamā Depozīta iepakojuma apriti</w:t>
            </w:r>
            <w:r w:rsidR="004D19E2" w:rsidRPr="00426534">
              <w:rPr>
                <w:rFonts w:cs="Times New Roman"/>
                <w:sz w:val="20"/>
                <w:szCs w:val="20"/>
                <w:lang w:val="lv-LV"/>
              </w:rPr>
              <w:t xml:space="preserve"> noteikto</w:t>
            </w:r>
            <w:r w:rsidR="00016E1D" w:rsidRPr="00426534">
              <w:rPr>
                <w:rFonts w:cs="Times New Roman"/>
                <w:sz w:val="20"/>
                <w:szCs w:val="20"/>
              </w:rPr>
              <w:t>.</w:t>
            </w:r>
          </w:p>
          <w:p w14:paraId="6917E433" w14:textId="5E4E03AB" w:rsidR="00016E1D" w:rsidRPr="002A2C7A" w:rsidRDefault="00016E1D" w:rsidP="00996381">
            <w:pPr>
              <w:pStyle w:val="ListParagraph"/>
              <w:numPr>
                <w:ilvl w:val="1"/>
                <w:numId w:val="11"/>
              </w:numPr>
              <w:spacing w:before="120" w:after="120"/>
              <w:ind w:hanging="476"/>
              <w:contextualSpacing w:val="0"/>
              <w:jc w:val="both"/>
              <w:rPr>
                <w:rFonts w:cs="Times New Roman"/>
                <w:sz w:val="20"/>
                <w:szCs w:val="20"/>
                <w:lang w:val="lv-LV"/>
              </w:rPr>
            </w:pPr>
            <w:r w:rsidRPr="002A2C7A">
              <w:rPr>
                <w:rFonts w:cs="Times New Roman"/>
                <w:sz w:val="20"/>
                <w:szCs w:val="20"/>
                <w:lang w:val="lv-LV"/>
              </w:rPr>
              <w:t>nodot Depozīta iepakotājam iedalīto Universālo AU iepakojumu kopā ar kastēm un paletēm, kuru kvalitāte atbilst Rokasgrāmatā Depozīta iepakotājiem noteiktajām prasībām.</w:t>
            </w:r>
          </w:p>
        </w:tc>
      </w:tr>
      <w:tr w:rsidR="005E4B42" w:rsidRPr="00093B64" w14:paraId="1051B78A" w14:textId="77777777" w:rsidTr="00D52BE9">
        <w:trPr>
          <w:gridAfter w:val="1"/>
          <w:wAfter w:w="82" w:type="dxa"/>
        </w:trPr>
        <w:tc>
          <w:tcPr>
            <w:tcW w:w="9924" w:type="dxa"/>
            <w:gridSpan w:val="2"/>
          </w:tcPr>
          <w:p w14:paraId="4E5E3CDD" w14:textId="684AD152" w:rsidR="005E4B42" w:rsidRPr="004D57F4" w:rsidRDefault="00D57C66" w:rsidP="00996381">
            <w:pPr>
              <w:pStyle w:val="ListParagraph"/>
              <w:numPr>
                <w:ilvl w:val="0"/>
                <w:numId w:val="11"/>
              </w:numPr>
              <w:spacing w:after="120" w:line="276" w:lineRule="auto"/>
              <w:ind w:left="604" w:hanging="617"/>
              <w:jc w:val="both"/>
              <w:rPr>
                <w:rFonts w:cs="Times New Roman"/>
                <w:sz w:val="20"/>
                <w:szCs w:val="20"/>
                <w:lang w:val="lv-LV"/>
              </w:rPr>
            </w:pPr>
            <w:r w:rsidRPr="004D57F4">
              <w:rPr>
                <w:rFonts w:cs="Times New Roman"/>
                <w:sz w:val="20"/>
                <w:szCs w:val="20"/>
                <w:lang w:val="lv-LV"/>
              </w:rPr>
              <w:lastRenderedPageBreak/>
              <w:t>Depozīta iepakotāja</w:t>
            </w:r>
            <w:r w:rsidR="005E4B42" w:rsidRPr="004D57F4">
              <w:rPr>
                <w:rFonts w:cs="Times New Roman"/>
                <w:sz w:val="20"/>
                <w:szCs w:val="20"/>
                <w:lang w:val="lv-LV"/>
              </w:rPr>
              <w:t xml:space="preserve"> </w:t>
            </w:r>
            <w:r w:rsidRPr="004D57F4">
              <w:rPr>
                <w:rFonts w:cs="Times New Roman"/>
                <w:sz w:val="20"/>
                <w:szCs w:val="20"/>
                <w:lang w:val="lv-LV"/>
              </w:rPr>
              <w:t>pienākumi</w:t>
            </w:r>
            <w:r w:rsidR="005E4B42" w:rsidRPr="004D57F4">
              <w:rPr>
                <w:rFonts w:cs="Times New Roman"/>
                <w:sz w:val="20"/>
                <w:szCs w:val="20"/>
                <w:lang w:val="lv-LV"/>
              </w:rPr>
              <w:t>:</w:t>
            </w:r>
          </w:p>
        </w:tc>
      </w:tr>
      <w:tr w:rsidR="005E4B42" w:rsidRPr="00093B64" w14:paraId="197DAC5F" w14:textId="77777777" w:rsidTr="00D52BE9">
        <w:trPr>
          <w:gridAfter w:val="1"/>
          <w:wAfter w:w="82" w:type="dxa"/>
        </w:trPr>
        <w:tc>
          <w:tcPr>
            <w:tcW w:w="9924" w:type="dxa"/>
            <w:gridSpan w:val="2"/>
          </w:tcPr>
          <w:p w14:paraId="703EA6AF" w14:textId="2E8D8B4D" w:rsidR="00016E1D" w:rsidRPr="004D57F4" w:rsidRDefault="0085018F" w:rsidP="00996381">
            <w:pPr>
              <w:pStyle w:val="ListParagraph"/>
              <w:numPr>
                <w:ilvl w:val="1"/>
                <w:numId w:val="11"/>
              </w:numPr>
              <w:spacing w:before="120" w:after="120"/>
              <w:ind w:left="1058" w:hanging="454"/>
              <w:jc w:val="both"/>
              <w:rPr>
                <w:rFonts w:cs="Times New Roman"/>
                <w:sz w:val="20"/>
                <w:szCs w:val="20"/>
                <w:lang w:val="lv-LV"/>
              </w:rPr>
            </w:pPr>
            <w:r w:rsidRPr="004D57F4">
              <w:rPr>
                <w:rFonts w:cs="Times New Roman"/>
                <w:sz w:val="20"/>
                <w:szCs w:val="20"/>
                <w:lang w:val="lv-LV"/>
              </w:rPr>
              <w:t xml:space="preserve">Nodrošināt, ka </w:t>
            </w:r>
            <w:r w:rsidR="005B3067" w:rsidRPr="004D57F4">
              <w:rPr>
                <w:rFonts w:cs="Times New Roman"/>
                <w:sz w:val="20"/>
                <w:szCs w:val="20"/>
                <w:lang w:val="lv-LV"/>
              </w:rPr>
              <w:t xml:space="preserve">tirgū laistā </w:t>
            </w:r>
            <w:r w:rsidRPr="004D57F4">
              <w:rPr>
                <w:rFonts w:cs="Times New Roman"/>
                <w:sz w:val="20"/>
                <w:szCs w:val="20"/>
                <w:lang w:val="lv-LV"/>
              </w:rPr>
              <w:t xml:space="preserve">Universālā </w:t>
            </w:r>
            <w:r w:rsidR="00770493" w:rsidRPr="004D57F4">
              <w:rPr>
                <w:rFonts w:cs="Times New Roman"/>
                <w:sz w:val="20"/>
                <w:szCs w:val="20"/>
                <w:lang w:val="lv-LV"/>
              </w:rPr>
              <w:t xml:space="preserve">AU </w:t>
            </w:r>
            <w:r w:rsidRPr="004D57F4">
              <w:rPr>
                <w:rFonts w:cs="Times New Roman"/>
                <w:sz w:val="20"/>
                <w:szCs w:val="20"/>
                <w:lang w:val="lv-LV"/>
              </w:rPr>
              <w:t xml:space="preserve">iepakojuma kvalitāte atbilst </w:t>
            </w:r>
            <w:r w:rsidR="00E802D5" w:rsidRPr="004D57F4">
              <w:rPr>
                <w:rFonts w:cs="Times New Roman"/>
                <w:sz w:val="20"/>
                <w:szCs w:val="20"/>
                <w:lang w:val="lv-LV"/>
              </w:rPr>
              <w:t>Rokasgrāmatas prasībām;</w:t>
            </w:r>
          </w:p>
          <w:p w14:paraId="0725C90A" w14:textId="77777777" w:rsidR="00016E1D" w:rsidRPr="004D57F4" w:rsidRDefault="00016E1D" w:rsidP="00472887">
            <w:pPr>
              <w:pStyle w:val="ListParagraph"/>
              <w:spacing w:before="120" w:after="120"/>
              <w:ind w:left="1058" w:hanging="567"/>
              <w:jc w:val="both"/>
              <w:rPr>
                <w:rFonts w:cs="Times New Roman"/>
                <w:sz w:val="20"/>
                <w:szCs w:val="20"/>
                <w:lang w:val="lv-LV"/>
              </w:rPr>
            </w:pPr>
          </w:p>
          <w:p w14:paraId="29FAE706" w14:textId="6576ADBD" w:rsidR="00E54799" w:rsidRPr="004D57F4" w:rsidRDefault="002E503F" w:rsidP="00996381">
            <w:pPr>
              <w:pStyle w:val="ListParagraph"/>
              <w:numPr>
                <w:ilvl w:val="1"/>
                <w:numId w:val="11"/>
              </w:numPr>
              <w:spacing w:before="120" w:after="120"/>
              <w:ind w:left="1058" w:hanging="454"/>
              <w:jc w:val="both"/>
              <w:rPr>
                <w:rFonts w:cs="Times New Roman"/>
                <w:sz w:val="20"/>
                <w:szCs w:val="20"/>
                <w:lang w:val="lv-LV"/>
              </w:rPr>
            </w:pPr>
            <w:r w:rsidRPr="004D57F4">
              <w:rPr>
                <w:rFonts w:cs="Times New Roman"/>
                <w:sz w:val="20"/>
                <w:szCs w:val="20"/>
                <w:lang w:val="lv-LV"/>
              </w:rPr>
              <w:t xml:space="preserve">pēc DIO pieprasījuma, </w:t>
            </w:r>
            <w:r w:rsidR="00B27736" w:rsidRPr="004D57F4">
              <w:rPr>
                <w:rFonts w:cs="Times New Roman"/>
                <w:sz w:val="20"/>
                <w:szCs w:val="20"/>
                <w:lang w:val="lv-LV"/>
              </w:rPr>
              <w:t>kura apjomu DIO noteiks saskaņā ar tirgū laist</w:t>
            </w:r>
            <w:r w:rsidR="002D1332" w:rsidRPr="004D57F4">
              <w:rPr>
                <w:rFonts w:cs="Times New Roman"/>
                <w:sz w:val="20"/>
                <w:szCs w:val="20"/>
                <w:lang w:val="lv-LV"/>
              </w:rPr>
              <w:t>ā</w:t>
            </w:r>
            <w:r w:rsidR="00B27736" w:rsidRPr="004D57F4">
              <w:rPr>
                <w:rFonts w:cs="Times New Roman"/>
                <w:sz w:val="20"/>
                <w:szCs w:val="20"/>
                <w:lang w:val="lv-LV"/>
              </w:rPr>
              <w:t xml:space="preserve"> Universāl</w:t>
            </w:r>
            <w:r w:rsidR="00F562D6" w:rsidRPr="004D57F4">
              <w:rPr>
                <w:rFonts w:cs="Times New Roman"/>
                <w:sz w:val="20"/>
                <w:szCs w:val="20"/>
                <w:lang w:val="lv-LV"/>
              </w:rPr>
              <w:t>a</w:t>
            </w:r>
            <w:r w:rsidR="00B27736" w:rsidRPr="004D57F4">
              <w:rPr>
                <w:rFonts w:cs="Times New Roman"/>
                <w:sz w:val="20"/>
                <w:szCs w:val="20"/>
                <w:lang w:val="lv-LV"/>
              </w:rPr>
              <w:t xml:space="preserve"> </w:t>
            </w:r>
            <w:r w:rsidR="002D1332" w:rsidRPr="004D57F4">
              <w:rPr>
                <w:rFonts w:cs="Times New Roman"/>
                <w:sz w:val="20"/>
                <w:szCs w:val="20"/>
                <w:lang w:val="lv-LV"/>
              </w:rPr>
              <w:t>AU iepakojum</w:t>
            </w:r>
            <w:r w:rsidR="00F562D6" w:rsidRPr="004D57F4">
              <w:rPr>
                <w:rFonts w:cs="Times New Roman"/>
                <w:sz w:val="20"/>
                <w:szCs w:val="20"/>
                <w:lang w:val="lv-LV"/>
              </w:rPr>
              <w:t>a</w:t>
            </w:r>
            <w:r w:rsidR="002D1332" w:rsidRPr="004D57F4">
              <w:rPr>
                <w:rFonts w:cs="Times New Roman"/>
                <w:sz w:val="20"/>
                <w:szCs w:val="20"/>
                <w:lang w:val="lv-LV"/>
              </w:rPr>
              <w:t xml:space="preserve"> proporciju</w:t>
            </w:r>
            <w:r w:rsidR="00F562D6" w:rsidRPr="004D57F4">
              <w:rPr>
                <w:rFonts w:cs="Times New Roman"/>
                <w:sz w:val="20"/>
                <w:szCs w:val="20"/>
                <w:lang w:val="lv-LV"/>
              </w:rPr>
              <w:t xml:space="preserve"> starp Depozīta iepakotājiem</w:t>
            </w:r>
            <w:r w:rsidR="002D1332" w:rsidRPr="004D57F4">
              <w:rPr>
                <w:rFonts w:cs="Times New Roman"/>
                <w:sz w:val="20"/>
                <w:szCs w:val="20"/>
                <w:lang w:val="lv-LV"/>
              </w:rPr>
              <w:t xml:space="preserve">, </w:t>
            </w:r>
            <w:r w:rsidRPr="004D57F4">
              <w:rPr>
                <w:rFonts w:cs="Times New Roman"/>
                <w:sz w:val="20"/>
                <w:szCs w:val="20"/>
                <w:lang w:val="lv-LV"/>
              </w:rPr>
              <w:t xml:space="preserve">piegādāt DIO </w:t>
            </w:r>
            <w:r w:rsidR="002134A8" w:rsidRPr="004D57F4">
              <w:rPr>
                <w:rFonts w:cs="Times New Roman"/>
                <w:sz w:val="20"/>
                <w:szCs w:val="20"/>
                <w:lang w:val="lv-LV"/>
              </w:rPr>
              <w:t xml:space="preserve">Transportēšanas </w:t>
            </w:r>
            <w:r w:rsidR="003606A9" w:rsidRPr="004D57F4">
              <w:rPr>
                <w:rFonts w:cs="Times New Roman"/>
                <w:sz w:val="20"/>
                <w:szCs w:val="20"/>
                <w:lang w:val="lv-LV"/>
              </w:rPr>
              <w:t>materiāl</w:t>
            </w:r>
            <w:r w:rsidRPr="004D57F4">
              <w:rPr>
                <w:rFonts w:cs="Times New Roman"/>
                <w:sz w:val="20"/>
                <w:szCs w:val="20"/>
                <w:lang w:val="lv-LV"/>
              </w:rPr>
              <w:t>us</w:t>
            </w:r>
            <w:r w:rsidR="00D57C66" w:rsidRPr="004D57F4">
              <w:rPr>
                <w:rFonts w:cs="Times New Roman"/>
                <w:sz w:val="20"/>
                <w:szCs w:val="20"/>
                <w:lang w:val="lv-LV"/>
              </w:rPr>
              <w:t xml:space="preserve"> </w:t>
            </w:r>
            <w:r w:rsidR="00B70F6E" w:rsidRPr="004D57F4">
              <w:rPr>
                <w:rFonts w:cs="Times New Roman"/>
                <w:sz w:val="20"/>
                <w:szCs w:val="20"/>
                <w:lang w:val="lv-LV"/>
              </w:rPr>
              <w:t>(</w:t>
            </w:r>
            <w:r w:rsidR="00D57C66" w:rsidRPr="004D57F4">
              <w:rPr>
                <w:rFonts w:cs="Times New Roman"/>
                <w:sz w:val="20"/>
                <w:szCs w:val="20"/>
                <w:lang w:val="lv-LV"/>
              </w:rPr>
              <w:t>kast</w:t>
            </w:r>
            <w:r w:rsidRPr="004D57F4">
              <w:rPr>
                <w:rFonts w:cs="Times New Roman"/>
                <w:sz w:val="20"/>
                <w:szCs w:val="20"/>
                <w:lang w:val="lv-LV"/>
              </w:rPr>
              <w:t>es</w:t>
            </w:r>
            <w:r w:rsidR="00D57C66" w:rsidRPr="004D57F4">
              <w:rPr>
                <w:rFonts w:cs="Times New Roman"/>
                <w:sz w:val="20"/>
                <w:szCs w:val="20"/>
                <w:lang w:val="lv-LV"/>
              </w:rPr>
              <w:t xml:space="preserve"> un palet</w:t>
            </w:r>
            <w:r w:rsidRPr="004D57F4">
              <w:rPr>
                <w:rFonts w:cs="Times New Roman"/>
                <w:sz w:val="20"/>
                <w:szCs w:val="20"/>
                <w:lang w:val="lv-LV"/>
              </w:rPr>
              <w:t>es</w:t>
            </w:r>
            <w:r w:rsidR="00B70F6E" w:rsidRPr="004D57F4">
              <w:rPr>
                <w:rFonts w:cs="Times New Roman"/>
                <w:sz w:val="20"/>
                <w:szCs w:val="20"/>
                <w:lang w:val="lv-LV"/>
              </w:rPr>
              <w:t>)</w:t>
            </w:r>
            <w:r w:rsidR="00D57C66" w:rsidRPr="004D57F4">
              <w:rPr>
                <w:rFonts w:cs="Times New Roman"/>
                <w:sz w:val="20"/>
                <w:szCs w:val="20"/>
                <w:lang w:val="lv-LV"/>
              </w:rPr>
              <w:t xml:space="preserve">, kuru kvalitāte atbilst </w:t>
            </w:r>
            <w:r w:rsidR="00B70F6E" w:rsidRPr="004D57F4">
              <w:rPr>
                <w:rFonts w:cs="Times New Roman"/>
                <w:sz w:val="20"/>
                <w:szCs w:val="20"/>
                <w:lang w:val="lv-LV"/>
              </w:rPr>
              <w:t xml:space="preserve">Līgumā un </w:t>
            </w:r>
            <w:r w:rsidR="00D57C66" w:rsidRPr="004D57F4">
              <w:rPr>
                <w:rFonts w:cs="Times New Roman"/>
                <w:sz w:val="20"/>
                <w:szCs w:val="20"/>
                <w:lang w:val="lv-LV"/>
              </w:rPr>
              <w:t xml:space="preserve">Rokasgrāmatā </w:t>
            </w:r>
            <w:r w:rsidR="00231F10" w:rsidRPr="004D57F4">
              <w:rPr>
                <w:rFonts w:cs="Times New Roman"/>
                <w:sz w:val="20"/>
                <w:szCs w:val="20"/>
                <w:lang w:val="lv-LV"/>
              </w:rPr>
              <w:t xml:space="preserve">Par </w:t>
            </w:r>
            <w:r w:rsidR="00693388" w:rsidRPr="004D57F4">
              <w:rPr>
                <w:rFonts w:cs="Times New Roman"/>
                <w:sz w:val="20"/>
                <w:szCs w:val="20"/>
                <w:lang w:val="lv-LV"/>
              </w:rPr>
              <w:t>a</w:t>
            </w:r>
            <w:r w:rsidR="00231F10" w:rsidRPr="004D57F4">
              <w:rPr>
                <w:rFonts w:cs="Times New Roman"/>
                <w:sz w:val="20"/>
                <w:szCs w:val="20"/>
                <w:lang w:val="lv-LV"/>
              </w:rPr>
              <w:t>tkārtoti lietojamā Depozīta iepakojuma apriti</w:t>
            </w:r>
            <w:r w:rsidRPr="004D57F4">
              <w:rPr>
                <w:rFonts w:cs="Times New Roman"/>
                <w:sz w:val="20"/>
                <w:szCs w:val="20"/>
                <w:lang w:val="lv-LV"/>
              </w:rPr>
              <w:t xml:space="preserve"> noteiktajām prasībām</w:t>
            </w:r>
            <w:r w:rsidR="00FE58EE" w:rsidRPr="004D57F4">
              <w:rPr>
                <w:rFonts w:cs="Times New Roman"/>
                <w:sz w:val="20"/>
                <w:szCs w:val="20"/>
                <w:lang w:val="lv-LV"/>
              </w:rPr>
              <w:t xml:space="preserve"> un kuras DIO izmantos lai nodrošinātu Pieņemšanas vietas ar </w:t>
            </w:r>
            <w:r w:rsidR="008E4645" w:rsidRPr="004D57F4">
              <w:rPr>
                <w:rFonts w:cs="Times New Roman"/>
                <w:sz w:val="20"/>
                <w:szCs w:val="20"/>
                <w:lang w:val="lv-LV"/>
              </w:rPr>
              <w:t>Transportēšanas materiāliem</w:t>
            </w:r>
            <w:r w:rsidR="00093B64" w:rsidRPr="004D57F4">
              <w:rPr>
                <w:rFonts w:cs="Times New Roman"/>
                <w:sz w:val="20"/>
                <w:szCs w:val="20"/>
                <w:lang w:val="lv-LV"/>
              </w:rPr>
              <w:t xml:space="preserve"> Universālajam AU iepakojumam</w:t>
            </w:r>
            <w:r w:rsidR="008E4645" w:rsidRPr="004D57F4">
              <w:rPr>
                <w:rFonts w:cs="Times New Roman"/>
                <w:sz w:val="20"/>
                <w:szCs w:val="20"/>
                <w:lang w:val="lv-LV"/>
              </w:rPr>
              <w:t xml:space="preserve"> to nepietiekamības gadījumā;</w:t>
            </w:r>
          </w:p>
        </w:tc>
      </w:tr>
      <w:tr w:rsidR="005E4B42" w:rsidRPr="00093B64" w14:paraId="1370F6D6" w14:textId="77777777" w:rsidTr="00D52BE9">
        <w:trPr>
          <w:gridAfter w:val="1"/>
          <w:wAfter w:w="82" w:type="dxa"/>
          <w:trHeight w:val="706"/>
        </w:trPr>
        <w:tc>
          <w:tcPr>
            <w:tcW w:w="9924" w:type="dxa"/>
            <w:gridSpan w:val="2"/>
          </w:tcPr>
          <w:p w14:paraId="054A6E2A" w14:textId="2C58C7FB" w:rsidR="005E4B42" w:rsidRPr="004D57F4" w:rsidRDefault="00C63E9F" w:rsidP="00472887">
            <w:pPr>
              <w:pStyle w:val="ListParagraph"/>
              <w:numPr>
                <w:ilvl w:val="1"/>
                <w:numId w:val="11"/>
              </w:numPr>
              <w:spacing w:before="120" w:after="120"/>
              <w:ind w:left="1058" w:hanging="489"/>
              <w:contextualSpacing w:val="0"/>
              <w:jc w:val="both"/>
              <w:rPr>
                <w:rFonts w:cs="Times New Roman"/>
                <w:sz w:val="20"/>
                <w:szCs w:val="20"/>
                <w:lang w:val="lv-LV"/>
              </w:rPr>
            </w:pPr>
            <w:r w:rsidRPr="004D57F4">
              <w:rPr>
                <w:rFonts w:cs="Times New Roman"/>
                <w:sz w:val="20"/>
                <w:szCs w:val="20"/>
                <w:lang w:val="lv-LV"/>
              </w:rPr>
              <w:t xml:space="preserve">saskaņā ar </w:t>
            </w:r>
            <w:r w:rsidR="004D6115" w:rsidRPr="004D57F4">
              <w:rPr>
                <w:rFonts w:cs="Times New Roman"/>
                <w:sz w:val="20"/>
                <w:szCs w:val="20"/>
                <w:lang w:val="lv-LV"/>
              </w:rPr>
              <w:t xml:space="preserve">noteiktu </w:t>
            </w:r>
            <w:r w:rsidRPr="004D57F4">
              <w:rPr>
                <w:rFonts w:cs="Times New Roman"/>
                <w:sz w:val="20"/>
                <w:szCs w:val="20"/>
                <w:lang w:val="lv-LV"/>
              </w:rPr>
              <w:t xml:space="preserve">grafiku vai </w:t>
            </w:r>
            <w:r w:rsidR="00D57C66" w:rsidRPr="004D57F4">
              <w:rPr>
                <w:rFonts w:cs="Times New Roman"/>
                <w:sz w:val="20"/>
                <w:szCs w:val="20"/>
                <w:lang w:val="lv-LV"/>
              </w:rPr>
              <w:t>pēc DIO pieprasījuma saņemšanas</w:t>
            </w:r>
            <w:r w:rsidR="00FF774B" w:rsidRPr="004D57F4">
              <w:rPr>
                <w:rFonts w:cs="Times New Roman"/>
                <w:sz w:val="20"/>
                <w:szCs w:val="20"/>
                <w:lang w:val="lv-LV"/>
              </w:rPr>
              <w:t xml:space="preserve"> </w:t>
            </w:r>
            <w:r w:rsidR="00463CF1" w:rsidRPr="004D57F4">
              <w:rPr>
                <w:rFonts w:cs="Times New Roman"/>
                <w:sz w:val="20"/>
                <w:szCs w:val="20"/>
                <w:lang w:val="lv-LV"/>
              </w:rPr>
              <w:t>3</w:t>
            </w:r>
            <w:r w:rsidR="00FF774B" w:rsidRPr="004D57F4">
              <w:rPr>
                <w:rFonts w:cs="Times New Roman"/>
                <w:sz w:val="20"/>
                <w:szCs w:val="20"/>
                <w:lang w:val="lv-LV"/>
              </w:rPr>
              <w:t xml:space="preserve"> (</w:t>
            </w:r>
            <w:r w:rsidR="00463CF1" w:rsidRPr="004D57F4">
              <w:rPr>
                <w:rFonts w:cs="Times New Roman"/>
                <w:sz w:val="20"/>
                <w:szCs w:val="20"/>
                <w:lang w:val="lv-LV"/>
              </w:rPr>
              <w:t>trīs</w:t>
            </w:r>
            <w:r w:rsidR="00FF774B" w:rsidRPr="004D57F4">
              <w:rPr>
                <w:rFonts w:cs="Times New Roman"/>
                <w:sz w:val="20"/>
                <w:szCs w:val="20"/>
                <w:lang w:val="lv-LV"/>
              </w:rPr>
              <w:t>)</w:t>
            </w:r>
            <w:r w:rsidR="00D57C66" w:rsidRPr="004D57F4">
              <w:rPr>
                <w:rFonts w:cs="Times New Roman"/>
                <w:sz w:val="20"/>
                <w:szCs w:val="20"/>
                <w:lang w:val="lv-LV"/>
              </w:rPr>
              <w:t xml:space="preserve"> </w:t>
            </w:r>
            <w:r w:rsidR="00463CF1" w:rsidRPr="004D57F4">
              <w:rPr>
                <w:rFonts w:cs="Times New Roman"/>
                <w:sz w:val="20"/>
                <w:szCs w:val="20"/>
                <w:lang w:val="lv-LV"/>
              </w:rPr>
              <w:t xml:space="preserve">darba </w:t>
            </w:r>
            <w:r w:rsidR="00D57C66" w:rsidRPr="004D57F4">
              <w:rPr>
                <w:rFonts w:cs="Times New Roman"/>
                <w:sz w:val="20"/>
                <w:szCs w:val="20"/>
                <w:lang w:val="lv-LV"/>
              </w:rPr>
              <w:t>dienu laikā p</w:t>
            </w:r>
            <w:r w:rsidR="00E024E1">
              <w:rPr>
                <w:rFonts w:cs="Times New Roman"/>
                <w:sz w:val="20"/>
                <w:szCs w:val="20"/>
                <w:lang w:val="lv-LV"/>
              </w:rPr>
              <w:t>a</w:t>
            </w:r>
            <w:r w:rsidR="00D57C66" w:rsidRPr="004D57F4">
              <w:rPr>
                <w:rFonts w:cs="Times New Roman"/>
                <w:sz w:val="20"/>
                <w:szCs w:val="20"/>
                <w:lang w:val="lv-LV"/>
              </w:rPr>
              <w:t xml:space="preserve">ņemt Depozīta iepakotājam iedalīto Universālo </w:t>
            </w:r>
            <w:r w:rsidR="00D03237" w:rsidRPr="004D57F4">
              <w:rPr>
                <w:rFonts w:cs="Times New Roman"/>
                <w:sz w:val="20"/>
                <w:szCs w:val="20"/>
                <w:lang w:val="lv-LV"/>
              </w:rPr>
              <w:t xml:space="preserve">AU </w:t>
            </w:r>
            <w:r w:rsidR="00D57C66" w:rsidRPr="004D57F4">
              <w:rPr>
                <w:rFonts w:cs="Times New Roman"/>
                <w:sz w:val="20"/>
                <w:szCs w:val="20"/>
                <w:lang w:val="lv-LV"/>
              </w:rPr>
              <w:t>iepakojumu;</w:t>
            </w:r>
            <w:r w:rsidR="00E024E1">
              <w:rPr>
                <w:rFonts w:cs="Times New Roman"/>
                <w:sz w:val="20"/>
                <w:szCs w:val="20"/>
                <w:lang w:val="lv-LV"/>
              </w:rPr>
              <w:t xml:space="preserve"> </w:t>
            </w:r>
          </w:p>
        </w:tc>
      </w:tr>
      <w:tr w:rsidR="00F71101" w:rsidRPr="00093B64" w14:paraId="14290227" w14:textId="77777777" w:rsidTr="00D52BE9">
        <w:trPr>
          <w:gridAfter w:val="1"/>
          <w:wAfter w:w="82" w:type="dxa"/>
        </w:trPr>
        <w:tc>
          <w:tcPr>
            <w:tcW w:w="9924" w:type="dxa"/>
            <w:gridSpan w:val="2"/>
          </w:tcPr>
          <w:p w14:paraId="34A0EFD2" w14:textId="7E685FDD" w:rsidR="00F71101" w:rsidRPr="00F24D14" w:rsidRDefault="00F71101" w:rsidP="00472887">
            <w:pPr>
              <w:pStyle w:val="ListParagraph"/>
              <w:numPr>
                <w:ilvl w:val="1"/>
                <w:numId w:val="11"/>
              </w:numPr>
              <w:spacing w:before="120" w:after="120"/>
              <w:ind w:left="1058" w:hanging="489"/>
              <w:contextualSpacing w:val="0"/>
              <w:jc w:val="both"/>
              <w:rPr>
                <w:rFonts w:cs="Times New Roman"/>
                <w:sz w:val="20"/>
                <w:szCs w:val="20"/>
                <w:lang w:val="lv-LV"/>
              </w:rPr>
            </w:pPr>
            <w:r w:rsidRPr="004D57F4">
              <w:rPr>
                <w:rFonts w:cs="Times New Roman"/>
                <w:sz w:val="20"/>
                <w:szCs w:val="20"/>
                <w:lang w:val="lv-LV"/>
              </w:rPr>
              <w:t xml:space="preserve">izmantot </w:t>
            </w:r>
            <w:r w:rsidR="008D40A3" w:rsidRPr="004D57F4">
              <w:rPr>
                <w:rFonts w:cs="Times New Roman"/>
                <w:sz w:val="20"/>
                <w:szCs w:val="20"/>
                <w:lang w:val="lv-LV"/>
              </w:rPr>
              <w:t xml:space="preserve">visu </w:t>
            </w:r>
            <w:r w:rsidRPr="004D57F4">
              <w:rPr>
                <w:rFonts w:cs="Times New Roman"/>
                <w:sz w:val="20"/>
                <w:szCs w:val="20"/>
                <w:lang w:val="lv-LV"/>
              </w:rPr>
              <w:t xml:space="preserve">no DIO saņemto Universālo </w:t>
            </w:r>
            <w:r w:rsidR="00E11D2B" w:rsidRPr="004D57F4">
              <w:rPr>
                <w:rFonts w:cs="Times New Roman"/>
                <w:sz w:val="20"/>
                <w:szCs w:val="20"/>
                <w:lang w:val="lv-LV"/>
              </w:rPr>
              <w:t xml:space="preserve">AU </w:t>
            </w:r>
            <w:r w:rsidRPr="004D57F4">
              <w:rPr>
                <w:rFonts w:cs="Times New Roman"/>
                <w:sz w:val="20"/>
                <w:szCs w:val="20"/>
                <w:lang w:val="lv-LV"/>
              </w:rPr>
              <w:t>iepakojumu atkārtoti savas produkcijas uzpild</w:t>
            </w:r>
            <w:r w:rsidR="00FF5F4B" w:rsidRPr="004D57F4">
              <w:rPr>
                <w:rFonts w:cs="Times New Roman"/>
                <w:sz w:val="20"/>
                <w:szCs w:val="20"/>
                <w:lang w:val="lv-LV"/>
              </w:rPr>
              <w:t>īšanai</w:t>
            </w:r>
            <w:r w:rsidRPr="004D57F4">
              <w:rPr>
                <w:rFonts w:cs="Times New Roman"/>
                <w:sz w:val="20"/>
                <w:szCs w:val="20"/>
                <w:lang w:val="lv-LV"/>
              </w:rPr>
              <w:t xml:space="preserve">, ievērojot, ka </w:t>
            </w:r>
            <w:r w:rsidR="007125F2" w:rsidRPr="004D57F4">
              <w:rPr>
                <w:rFonts w:cs="Times New Roman"/>
                <w:sz w:val="20"/>
                <w:szCs w:val="20"/>
                <w:lang w:val="lv-LV"/>
              </w:rPr>
              <w:t xml:space="preserve">atkārtoti lietojamam iepakojumam ir </w:t>
            </w:r>
            <w:r w:rsidRPr="004D57F4">
              <w:rPr>
                <w:rFonts w:cs="Times New Roman"/>
                <w:sz w:val="20"/>
                <w:szCs w:val="20"/>
                <w:lang w:val="lv-LV"/>
              </w:rPr>
              <w:t xml:space="preserve">objektīvs dabīgais zudums no atgrieztā apjoma. Ja Depozīta iepakotāja </w:t>
            </w:r>
            <w:r w:rsidR="00F51637" w:rsidRPr="004D57F4">
              <w:rPr>
                <w:rFonts w:cs="Times New Roman"/>
                <w:sz w:val="20"/>
                <w:szCs w:val="20"/>
                <w:lang w:val="lv-LV"/>
              </w:rPr>
              <w:t xml:space="preserve">uzrādītais </w:t>
            </w:r>
            <w:r w:rsidR="003B68B9" w:rsidRPr="004D57F4">
              <w:rPr>
                <w:rFonts w:cs="Times New Roman"/>
                <w:sz w:val="20"/>
                <w:szCs w:val="20"/>
                <w:lang w:val="lv-LV"/>
              </w:rPr>
              <w:t>A</w:t>
            </w:r>
            <w:r w:rsidR="00F51637" w:rsidRPr="004D57F4">
              <w:rPr>
                <w:rFonts w:cs="Times New Roman"/>
                <w:sz w:val="20"/>
                <w:szCs w:val="20"/>
                <w:lang w:val="lv-LV"/>
              </w:rPr>
              <w:t>tkārtotās uzp</w:t>
            </w:r>
            <w:r w:rsidR="00AC2BA5" w:rsidRPr="004D57F4">
              <w:rPr>
                <w:rFonts w:cs="Times New Roman"/>
                <w:sz w:val="20"/>
                <w:szCs w:val="20"/>
                <w:lang w:val="lv-LV"/>
              </w:rPr>
              <w:t xml:space="preserve">ildīšanas procents </w:t>
            </w:r>
            <w:r w:rsidRPr="004D57F4">
              <w:rPr>
                <w:rFonts w:cs="Times New Roman"/>
                <w:sz w:val="20"/>
                <w:szCs w:val="20"/>
                <w:lang w:val="lv-LV"/>
              </w:rPr>
              <w:t xml:space="preserve">būs mazāks </w:t>
            </w:r>
            <w:r w:rsidR="00194080" w:rsidRPr="004D57F4">
              <w:rPr>
                <w:rFonts w:cs="Times New Roman"/>
                <w:sz w:val="20"/>
                <w:szCs w:val="20"/>
                <w:lang w:val="lv-LV"/>
              </w:rPr>
              <w:t>ne</w:t>
            </w:r>
            <w:r w:rsidRPr="004D57F4">
              <w:rPr>
                <w:rFonts w:cs="Times New Roman"/>
                <w:sz w:val="20"/>
                <w:szCs w:val="20"/>
                <w:lang w:val="lv-LV"/>
              </w:rPr>
              <w:t xml:space="preserve">kā </w:t>
            </w:r>
            <w:r w:rsidR="00AC2BA5" w:rsidRPr="004D57F4">
              <w:rPr>
                <w:rFonts w:cs="Times New Roman"/>
                <w:sz w:val="20"/>
                <w:szCs w:val="20"/>
                <w:lang w:val="lv-LV"/>
              </w:rPr>
              <w:t>vidējais</w:t>
            </w:r>
            <w:r w:rsidR="00194080" w:rsidRPr="004D57F4">
              <w:rPr>
                <w:rFonts w:cs="Times New Roman"/>
                <w:sz w:val="20"/>
                <w:szCs w:val="20"/>
                <w:lang w:val="lv-LV"/>
              </w:rPr>
              <w:t xml:space="preserve"> tirgus rādītājs, DIO </w:t>
            </w:r>
            <w:r w:rsidRPr="004D57F4">
              <w:rPr>
                <w:rFonts w:cs="Times New Roman"/>
                <w:sz w:val="20"/>
                <w:szCs w:val="20"/>
                <w:lang w:val="lv-LV"/>
              </w:rPr>
              <w:t xml:space="preserve">ir tiesības pieprasīt </w:t>
            </w:r>
            <w:r w:rsidR="00194080" w:rsidRPr="004D57F4">
              <w:rPr>
                <w:rFonts w:cs="Times New Roman"/>
                <w:sz w:val="20"/>
                <w:szCs w:val="20"/>
                <w:lang w:val="lv-LV"/>
              </w:rPr>
              <w:t>Depozīta iepakotāj</w:t>
            </w:r>
            <w:r w:rsidR="00194080" w:rsidRPr="00F24D14">
              <w:rPr>
                <w:rFonts w:cs="Times New Roman"/>
                <w:sz w:val="20"/>
                <w:szCs w:val="20"/>
                <w:lang w:val="lv-LV"/>
              </w:rPr>
              <w:t>am situācijas skaidrojumu</w:t>
            </w:r>
            <w:r w:rsidRPr="00F24D14">
              <w:rPr>
                <w:rFonts w:cs="Times New Roman"/>
                <w:sz w:val="20"/>
                <w:szCs w:val="20"/>
                <w:lang w:val="lv-LV"/>
              </w:rPr>
              <w:t>.</w:t>
            </w:r>
          </w:p>
          <w:p w14:paraId="3987887D" w14:textId="77777777" w:rsidR="00F2639D" w:rsidRDefault="007D4850" w:rsidP="00A50322">
            <w:pPr>
              <w:pStyle w:val="ListParagraph"/>
              <w:numPr>
                <w:ilvl w:val="1"/>
                <w:numId w:val="11"/>
              </w:numPr>
              <w:spacing w:before="120" w:after="120"/>
              <w:ind w:left="1058" w:hanging="489"/>
              <w:contextualSpacing w:val="0"/>
              <w:jc w:val="both"/>
              <w:rPr>
                <w:rFonts w:cs="Times New Roman"/>
                <w:sz w:val="20"/>
                <w:szCs w:val="20"/>
                <w:lang w:val="lv-LV"/>
              </w:rPr>
            </w:pPr>
            <w:bookmarkStart w:id="0" w:name="_Hlk79046585"/>
            <w:r w:rsidRPr="007D4850">
              <w:rPr>
                <w:rFonts w:cs="Times New Roman"/>
                <w:sz w:val="20"/>
                <w:szCs w:val="20"/>
                <w:lang w:val="lv-LV"/>
              </w:rPr>
              <w:t>Pie nozīmīga ilgtermiņa apjoma samazinājuma tirgū laistajā Universālā AU iepakojuma apjomā vai Universālās AU iepakojuma formas izņemšana no aprites pilnībā, Depozīta iepakotājs apņemas informēt DIO vismaz 3 mēnešus iepriekš.  Depozīta iepakotājs apņemas pieņemt visu tam piekrītošo Svītrkodu Universālo AU faktiski atgriezto iepakojuma apjomu Depozīta sistēmā, kuru DIO nevar nodot uz atkārtotu uzpildīšanu Vienošanās 5.3 punkta sadales ietvaros, 36 (trīsdesmit sešus) mēnešus pēc Universālās AU iepakojuma formas laišanas tirgū pārtraukšanas, kā arī šajā periodā nodrošināt citu šīs Vienošanās nosacījumu izpildi. Par citu apsaimniekošanas modeli Puses var vienoties atsevišķi. Pēc iepakojuma izņemšanas no Depozīta sistēmas aprites Depozīta iepakotājs apņemas to apsaimniekot saskaņā ar normatīviem aktiem. Depozīta iepakotājam nav jāsniedz informācija par izmaiņām saistībā ar sezonalitāti.</w:t>
            </w:r>
            <w:bookmarkEnd w:id="0"/>
          </w:p>
          <w:p w14:paraId="6411A663" w14:textId="7BF9EFA9" w:rsidR="007D4850" w:rsidRPr="00A50322" w:rsidRDefault="007D4850" w:rsidP="007D4850">
            <w:pPr>
              <w:pStyle w:val="ListParagraph"/>
              <w:spacing w:before="120" w:after="120"/>
              <w:ind w:left="1058"/>
              <w:contextualSpacing w:val="0"/>
              <w:jc w:val="both"/>
              <w:rPr>
                <w:rFonts w:cs="Times New Roman"/>
                <w:sz w:val="20"/>
                <w:szCs w:val="20"/>
                <w:lang w:val="lv-LV"/>
              </w:rPr>
            </w:pPr>
            <w:r w:rsidRPr="007D4850">
              <w:rPr>
                <w:rFonts w:cs="Times New Roman"/>
                <w:sz w:val="20"/>
                <w:szCs w:val="20"/>
                <w:lang w:val="lv-LV"/>
              </w:rPr>
              <w:t>Nozīmīga Universālā AU iepakojuma apjoma palielinājuma gadījumā vai uzsākot laist tirgū Universālās AU iepakojumu no jauna, Depozīta iepakotājs apņemas informēt DIO vismaz 3 mēnešus iepriekš. Depozīta iepakotājs apliecina, ka ir informēts par Vienošanās 5.3. punktā noteiktajiem sadales principiem un neizvirzīs nekādas pretenzijas par zemāku atgriešanas proporciju sākotnējā palielināta apjoma tirgū laišanas periodā. Depozīta iepakotājam nav jāsniedz informācija par izmaiņām saistībā ar sezonalitāti.</w:t>
            </w:r>
          </w:p>
        </w:tc>
      </w:tr>
      <w:tr w:rsidR="00D57C66" w:rsidRPr="00093B64" w14:paraId="6D3E2EC3" w14:textId="77777777" w:rsidTr="00D52BE9">
        <w:trPr>
          <w:gridAfter w:val="1"/>
          <w:wAfter w:w="82" w:type="dxa"/>
        </w:trPr>
        <w:tc>
          <w:tcPr>
            <w:tcW w:w="9924" w:type="dxa"/>
            <w:gridSpan w:val="2"/>
          </w:tcPr>
          <w:p w14:paraId="6EB6934F" w14:textId="4AC58A21" w:rsidR="00E86E05" w:rsidRPr="00E86E05" w:rsidRDefault="00AC5B1E" w:rsidP="00E86E05">
            <w:pPr>
              <w:pStyle w:val="ListParagraph"/>
              <w:numPr>
                <w:ilvl w:val="1"/>
                <w:numId w:val="11"/>
              </w:numPr>
              <w:spacing w:before="120" w:after="120"/>
              <w:jc w:val="both"/>
              <w:rPr>
                <w:rFonts w:cs="Times New Roman"/>
                <w:sz w:val="20"/>
                <w:szCs w:val="20"/>
                <w:lang w:val="lv-LV"/>
              </w:rPr>
            </w:pPr>
            <w:r w:rsidRPr="004D57F4">
              <w:rPr>
                <w:rFonts w:cs="Times New Roman"/>
                <w:sz w:val="20"/>
                <w:szCs w:val="20"/>
                <w:lang w:val="lv-LV"/>
              </w:rPr>
              <w:t>R</w:t>
            </w:r>
            <w:r w:rsidR="006E010F" w:rsidRPr="004D57F4">
              <w:rPr>
                <w:rFonts w:cs="Times New Roman"/>
                <w:sz w:val="20"/>
                <w:szCs w:val="20"/>
                <w:lang w:val="lv-LV"/>
              </w:rPr>
              <w:t xml:space="preserve">eizi </w:t>
            </w:r>
            <w:r w:rsidR="004A1924" w:rsidRPr="004D57F4">
              <w:rPr>
                <w:rFonts w:cs="Times New Roman"/>
                <w:sz w:val="20"/>
                <w:szCs w:val="20"/>
                <w:lang w:val="lv-LV"/>
              </w:rPr>
              <w:t>ceturksnī</w:t>
            </w:r>
            <w:r w:rsidR="006E010F" w:rsidRPr="004D57F4">
              <w:rPr>
                <w:rFonts w:cs="Times New Roman"/>
                <w:sz w:val="20"/>
                <w:szCs w:val="20"/>
                <w:lang w:val="lv-LV"/>
              </w:rPr>
              <w:t xml:space="preserve"> līd</w:t>
            </w:r>
            <w:r w:rsidR="00CF398E" w:rsidRPr="004D57F4">
              <w:rPr>
                <w:rFonts w:cs="Times New Roman"/>
                <w:sz w:val="20"/>
                <w:szCs w:val="20"/>
                <w:lang w:val="lv-LV"/>
              </w:rPr>
              <w:t>z</w:t>
            </w:r>
            <w:r w:rsidR="006E010F" w:rsidRPr="004D57F4">
              <w:rPr>
                <w:rFonts w:cs="Times New Roman"/>
                <w:sz w:val="20"/>
                <w:szCs w:val="20"/>
                <w:lang w:val="lv-LV"/>
              </w:rPr>
              <w:t xml:space="preserve"> </w:t>
            </w:r>
            <w:r w:rsidR="004A1924" w:rsidRPr="004D57F4">
              <w:rPr>
                <w:rFonts w:cs="Times New Roman"/>
                <w:sz w:val="20"/>
                <w:szCs w:val="20"/>
                <w:lang w:val="lv-LV"/>
              </w:rPr>
              <w:t>ceturkšņa</w:t>
            </w:r>
            <w:r w:rsidR="006E010F" w:rsidRPr="004D57F4">
              <w:rPr>
                <w:rFonts w:cs="Times New Roman"/>
                <w:sz w:val="20"/>
                <w:szCs w:val="20"/>
                <w:lang w:val="lv-LV"/>
              </w:rPr>
              <w:t xml:space="preserve"> pirmā m</w:t>
            </w:r>
            <w:r w:rsidR="00F7542F" w:rsidRPr="004D57F4">
              <w:rPr>
                <w:rFonts w:cs="Times New Roman"/>
                <w:sz w:val="20"/>
                <w:szCs w:val="20"/>
                <w:lang w:val="lv-LV"/>
              </w:rPr>
              <w:t>ē</w:t>
            </w:r>
            <w:r w:rsidR="006E010F" w:rsidRPr="004D57F4">
              <w:rPr>
                <w:rFonts w:cs="Times New Roman"/>
                <w:sz w:val="20"/>
                <w:szCs w:val="20"/>
                <w:lang w:val="lv-LV"/>
              </w:rPr>
              <w:t xml:space="preserve">neša 20.datumam, </w:t>
            </w:r>
            <w:r w:rsidR="00D57C66" w:rsidRPr="004D57F4">
              <w:rPr>
                <w:rFonts w:cs="Times New Roman"/>
                <w:sz w:val="20"/>
                <w:szCs w:val="20"/>
                <w:lang w:val="lv-LV"/>
              </w:rPr>
              <w:t xml:space="preserve">sniegt DIO informāciju par Universālā </w:t>
            </w:r>
            <w:r w:rsidR="004405DC" w:rsidRPr="004D57F4">
              <w:rPr>
                <w:rFonts w:cs="Times New Roman"/>
                <w:sz w:val="20"/>
                <w:szCs w:val="20"/>
                <w:lang w:val="lv-LV"/>
              </w:rPr>
              <w:t>AU</w:t>
            </w:r>
            <w:r w:rsidR="00D57C66" w:rsidRPr="004D57F4">
              <w:rPr>
                <w:rFonts w:cs="Times New Roman"/>
                <w:sz w:val="20"/>
                <w:szCs w:val="20"/>
                <w:lang w:val="lv-LV"/>
              </w:rPr>
              <w:t xml:space="preserve"> iepakojuma </w:t>
            </w:r>
            <w:r w:rsidR="00937FF9" w:rsidRPr="004D57F4">
              <w:rPr>
                <w:rFonts w:cs="Times New Roman"/>
                <w:sz w:val="20"/>
                <w:szCs w:val="20"/>
                <w:lang w:val="lv-LV"/>
              </w:rPr>
              <w:t>atkārtotu izmantošanu</w:t>
            </w:r>
            <w:r w:rsidR="00F7542F" w:rsidRPr="004D57F4">
              <w:rPr>
                <w:rFonts w:cs="Times New Roman"/>
                <w:sz w:val="20"/>
                <w:szCs w:val="20"/>
                <w:lang w:val="lv-LV"/>
              </w:rPr>
              <w:t xml:space="preserve"> </w:t>
            </w:r>
            <w:r w:rsidR="00CF398E" w:rsidRPr="004D57F4">
              <w:rPr>
                <w:rFonts w:cs="Times New Roman"/>
                <w:sz w:val="20"/>
                <w:szCs w:val="20"/>
                <w:lang w:val="lv-LV"/>
              </w:rPr>
              <w:t xml:space="preserve">iepriekšējā </w:t>
            </w:r>
            <w:r w:rsidR="004A1924" w:rsidRPr="004D57F4">
              <w:rPr>
                <w:rFonts w:cs="Times New Roman"/>
                <w:sz w:val="20"/>
                <w:szCs w:val="20"/>
                <w:lang w:val="lv-LV"/>
              </w:rPr>
              <w:t>ceturksnī</w:t>
            </w:r>
            <w:r w:rsidR="00CF398E" w:rsidRPr="004D57F4">
              <w:rPr>
                <w:rFonts w:cs="Times New Roman"/>
                <w:sz w:val="20"/>
                <w:szCs w:val="20"/>
                <w:lang w:val="lv-LV"/>
              </w:rPr>
              <w:t xml:space="preserve"> </w:t>
            </w:r>
            <w:r w:rsidR="00F7542F" w:rsidRPr="004D57F4">
              <w:rPr>
                <w:rFonts w:cs="Times New Roman"/>
                <w:sz w:val="20"/>
                <w:szCs w:val="20"/>
                <w:lang w:val="lv-LV"/>
              </w:rPr>
              <w:t xml:space="preserve">saskaņā ar Rokasgrāmatā norādīto atskaiti. </w:t>
            </w:r>
            <w:r w:rsidR="00E86E05">
              <w:rPr>
                <w:rFonts w:cs="Times New Roman"/>
                <w:sz w:val="20"/>
                <w:szCs w:val="20"/>
                <w:lang w:val="lv-LV"/>
              </w:rPr>
              <w:t xml:space="preserve">Puses vienojas, ka </w:t>
            </w:r>
            <w:r w:rsidR="00E86E05" w:rsidRPr="00E86E05">
              <w:rPr>
                <w:rFonts w:cs="Times New Roman"/>
                <w:sz w:val="20"/>
                <w:szCs w:val="20"/>
                <w:lang w:val="lv-LV"/>
              </w:rPr>
              <w:t>sniegtās informācijas pārbaudei ir piemērojami Līguma noteikumi, kas attiecas uz Depozīta iepakotāja pārbaudēm.</w:t>
            </w:r>
          </w:p>
        </w:tc>
      </w:tr>
      <w:tr w:rsidR="00937FF9" w:rsidRPr="007D4850" w14:paraId="36E5EBDE" w14:textId="77777777" w:rsidTr="00D52BE9">
        <w:trPr>
          <w:gridAfter w:val="1"/>
          <w:wAfter w:w="82" w:type="dxa"/>
        </w:trPr>
        <w:tc>
          <w:tcPr>
            <w:tcW w:w="9924" w:type="dxa"/>
            <w:gridSpan w:val="2"/>
          </w:tcPr>
          <w:p w14:paraId="1FDE86CB" w14:textId="16B8F706" w:rsidR="00937FF9" w:rsidRPr="007D4850" w:rsidRDefault="00937FF9" w:rsidP="00996381">
            <w:pPr>
              <w:pStyle w:val="ListParagraph"/>
              <w:numPr>
                <w:ilvl w:val="0"/>
                <w:numId w:val="11"/>
              </w:numPr>
              <w:spacing w:before="120" w:after="120"/>
              <w:ind w:left="604" w:hanging="604"/>
              <w:contextualSpacing w:val="0"/>
              <w:jc w:val="both"/>
              <w:rPr>
                <w:rFonts w:cs="Times New Roman"/>
                <w:sz w:val="20"/>
                <w:szCs w:val="20"/>
                <w:lang w:val="lv-LV"/>
              </w:rPr>
            </w:pPr>
            <w:r w:rsidRPr="007D4850">
              <w:rPr>
                <w:rFonts w:cs="Times New Roman"/>
                <w:sz w:val="20"/>
                <w:szCs w:val="20"/>
                <w:lang w:val="lv-LV"/>
              </w:rPr>
              <w:t xml:space="preserve">Puses vienojas, ka DIO no Pārdevējiem pieņemto Universālo </w:t>
            </w:r>
            <w:r w:rsidR="004405DC" w:rsidRPr="007D4850">
              <w:rPr>
                <w:rFonts w:cs="Times New Roman"/>
                <w:sz w:val="20"/>
                <w:szCs w:val="20"/>
                <w:lang w:val="lv-LV"/>
              </w:rPr>
              <w:t>AU</w:t>
            </w:r>
            <w:r w:rsidRPr="007D4850">
              <w:rPr>
                <w:rFonts w:cs="Times New Roman"/>
                <w:sz w:val="20"/>
                <w:szCs w:val="20"/>
                <w:lang w:val="lv-LV"/>
              </w:rPr>
              <w:t xml:space="preserve"> iepakojumu uzskaita</w:t>
            </w:r>
            <w:r w:rsidR="00E47AD7" w:rsidRPr="007D4850">
              <w:rPr>
                <w:rFonts w:cs="Times New Roman"/>
                <w:sz w:val="20"/>
                <w:szCs w:val="20"/>
                <w:lang w:val="lv-LV"/>
              </w:rPr>
              <w:t xml:space="preserve"> </w:t>
            </w:r>
            <w:r w:rsidRPr="007D4850">
              <w:rPr>
                <w:rFonts w:cs="Times New Roman"/>
                <w:sz w:val="20"/>
                <w:szCs w:val="20"/>
                <w:lang w:val="lv-LV"/>
              </w:rPr>
              <w:t>un pārbauda</w:t>
            </w:r>
            <w:r w:rsidR="00EA20D5" w:rsidRPr="007D4850">
              <w:rPr>
                <w:rFonts w:cs="Times New Roman"/>
                <w:sz w:val="20"/>
                <w:szCs w:val="20"/>
                <w:lang w:val="lv-LV"/>
              </w:rPr>
              <w:t xml:space="preserve"> tikai vi</w:t>
            </w:r>
            <w:r w:rsidR="003C1E9C" w:rsidRPr="007D4850">
              <w:rPr>
                <w:rFonts w:cs="Times New Roman"/>
                <w:sz w:val="20"/>
                <w:szCs w:val="20"/>
                <w:lang w:val="lv-LV"/>
              </w:rPr>
              <w:t>zuāli</w:t>
            </w:r>
            <w:r w:rsidR="00A009D8" w:rsidRPr="007D4850">
              <w:rPr>
                <w:rFonts w:cs="Times New Roman"/>
                <w:sz w:val="20"/>
                <w:szCs w:val="20"/>
                <w:lang w:val="lv-LV"/>
              </w:rPr>
              <w:t>, kastes</w:t>
            </w:r>
            <w:r w:rsidR="003C1E9C" w:rsidRPr="007D4850">
              <w:rPr>
                <w:rFonts w:cs="Times New Roman"/>
                <w:sz w:val="20"/>
                <w:szCs w:val="20"/>
                <w:lang w:val="lv-LV"/>
              </w:rPr>
              <w:t xml:space="preserve"> nepārpakojot</w:t>
            </w:r>
            <w:r w:rsidR="000A6168" w:rsidRPr="007D4850">
              <w:rPr>
                <w:rFonts w:cs="Times New Roman"/>
                <w:sz w:val="20"/>
                <w:szCs w:val="20"/>
                <w:lang w:val="lv-LV"/>
              </w:rPr>
              <w:t xml:space="preserve">, </w:t>
            </w:r>
            <w:r w:rsidR="000A1218" w:rsidRPr="007D4850">
              <w:rPr>
                <w:rFonts w:cs="Times New Roman"/>
                <w:sz w:val="20"/>
                <w:szCs w:val="20"/>
                <w:lang w:val="lv-LV"/>
              </w:rPr>
              <w:t xml:space="preserve">no aprites izņemot tikai </w:t>
            </w:r>
            <w:r w:rsidR="000E688C" w:rsidRPr="007D4850">
              <w:rPr>
                <w:rFonts w:cs="Times New Roman"/>
                <w:sz w:val="20"/>
                <w:szCs w:val="20"/>
                <w:lang w:val="lv-LV"/>
              </w:rPr>
              <w:t xml:space="preserve">proporcionāli nozīmīgu daudzumu, </w:t>
            </w:r>
            <w:r w:rsidRPr="007D4850">
              <w:rPr>
                <w:rFonts w:cs="Times New Roman"/>
                <w:sz w:val="20"/>
                <w:szCs w:val="20"/>
                <w:lang w:val="lv-LV"/>
              </w:rPr>
              <w:t>acīmredzami nelietojam</w:t>
            </w:r>
            <w:r w:rsidR="000A1218" w:rsidRPr="007D4850">
              <w:rPr>
                <w:rFonts w:cs="Times New Roman"/>
                <w:sz w:val="20"/>
                <w:szCs w:val="20"/>
                <w:lang w:val="lv-LV"/>
              </w:rPr>
              <w:t>u</w:t>
            </w:r>
            <w:r w:rsidRPr="007D4850">
              <w:rPr>
                <w:rFonts w:cs="Times New Roman"/>
                <w:sz w:val="20"/>
                <w:szCs w:val="20"/>
                <w:lang w:val="lv-LV"/>
              </w:rPr>
              <w:t xml:space="preserve">s </w:t>
            </w:r>
            <w:r w:rsidR="000A1218" w:rsidRPr="007D4850">
              <w:rPr>
                <w:rFonts w:cs="Times New Roman"/>
                <w:sz w:val="20"/>
                <w:szCs w:val="20"/>
                <w:lang w:val="lv-LV"/>
              </w:rPr>
              <w:t xml:space="preserve">iepakojumus </w:t>
            </w:r>
            <w:r w:rsidRPr="007D4850">
              <w:rPr>
                <w:rFonts w:cs="Times New Roman"/>
                <w:sz w:val="20"/>
                <w:szCs w:val="20"/>
                <w:lang w:val="lv-LV"/>
              </w:rPr>
              <w:t>(</w:t>
            </w:r>
            <w:r w:rsidR="0025617D" w:rsidRPr="007D4850">
              <w:rPr>
                <w:rFonts w:cs="Times New Roman"/>
                <w:sz w:val="20"/>
                <w:szCs w:val="20"/>
                <w:lang w:val="lv-LV"/>
              </w:rPr>
              <w:t xml:space="preserve">saplīsušas </w:t>
            </w:r>
            <w:r w:rsidRPr="007D4850">
              <w:rPr>
                <w:rFonts w:cs="Times New Roman"/>
                <w:sz w:val="20"/>
                <w:szCs w:val="20"/>
                <w:lang w:val="lv-LV"/>
              </w:rPr>
              <w:t>pudeles)</w:t>
            </w:r>
            <w:r w:rsidR="00FD36AD" w:rsidRPr="007D4850">
              <w:rPr>
                <w:rFonts w:cs="Times New Roman"/>
                <w:sz w:val="20"/>
                <w:szCs w:val="20"/>
                <w:lang w:val="lv-LV"/>
              </w:rPr>
              <w:t xml:space="preserve">. </w:t>
            </w:r>
            <w:r w:rsidRPr="007D4850">
              <w:rPr>
                <w:rFonts w:cs="Times New Roman"/>
                <w:sz w:val="20"/>
                <w:szCs w:val="20"/>
                <w:lang w:val="lv-LV"/>
              </w:rPr>
              <w:t xml:space="preserve">DIO neveic iepakojuma detalizētu pārbaudi (pudeļu kvalitāte, tīrība, korķu esamība utt.) un neatbild par to, ka Depozīta iepakotājam nodotais Universālais </w:t>
            </w:r>
            <w:r w:rsidR="004405DC" w:rsidRPr="007D4850">
              <w:rPr>
                <w:rFonts w:cs="Times New Roman"/>
                <w:sz w:val="20"/>
                <w:szCs w:val="20"/>
                <w:lang w:val="lv-LV"/>
              </w:rPr>
              <w:t>AU</w:t>
            </w:r>
            <w:r w:rsidRPr="007D4850">
              <w:rPr>
                <w:rFonts w:cs="Times New Roman"/>
                <w:sz w:val="20"/>
                <w:szCs w:val="20"/>
                <w:lang w:val="lv-LV"/>
              </w:rPr>
              <w:t xml:space="preserve"> iepakojums nav izmantojams pilnā apmērā</w:t>
            </w:r>
            <w:r w:rsidR="00D93ABF" w:rsidRPr="007D4850">
              <w:rPr>
                <w:rFonts w:cs="Times New Roman"/>
                <w:sz w:val="20"/>
                <w:szCs w:val="20"/>
                <w:lang w:val="lv-LV"/>
              </w:rPr>
              <w:t>, izņemot gadījumus</w:t>
            </w:r>
            <w:r w:rsidR="002E2AEB" w:rsidRPr="007D4850">
              <w:rPr>
                <w:rFonts w:cs="Times New Roman"/>
                <w:sz w:val="20"/>
                <w:szCs w:val="20"/>
                <w:lang w:val="lv-LV"/>
              </w:rPr>
              <w:t>, kad tas noticis DIO vainas dēļ</w:t>
            </w:r>
          </w:p>
        </w:tc>
      </w:tr>
      <w:tr w:rsidR="00F31605" w:rsidRPr="007D4850" w14:paraId="79181D1F" w14:textId="77777777" w:rsidTr="00D52BE9">
        <w:trPr>
          <w:gridAfter w:val="1"/>
          <w:wAfter w:w="82" w:type="dxa"/>
        </w:trPr>
        <w:tc>
          <w:tcPr>
            <w:tcW w:w="9924" w:type="dxa"/>
            <w:gridSpan w:val="2"/>
          </w:tcPr>
          <w:p w14:paraId="36CDE7EA" w14:textId="5794801E" w:rsidR="002C174C" w:rsidRPr="007D4850" w:rsidRDefault="002C174C" w:rsidP="00996381">
            <w:pPr>
              <w:pStyle w:val="ListParagraph"/>
              <w:numPr>
                <w:ilvl w:val="0"/>
                <w:numId w:val="11"/>
              </w:numPr>
              <w:spacing w:before="120" w:after="120"/>
              <w:ind w:left="604" w:hanging="568"/>
              <w:contextualSpacing w:val="0"/>
              <w:jc w:val="both"/>
              <w:rPr>
                <w:rFonts w:cs="Times New Roman"/>
                <w:sz w:val="20"/>
                <w:szCs w:val="20"/>
                <w:lang w:val="lv-LV"/>
              </w:rPr>
            </w:pPr>
            <w:r w:rsidRPr="007D4850">
              <w:rPr>
                <w:rFonts w:cs="Times New Roman"/>
                <w:sz w:val="20"/>
                <w:szCs w:val="20"/>
                <w:lang w:val="lv-LV"/>
              </w:rPr>
              <w:t xml:space="preserve">Puses vienojas, ka </w:t>
            </w:r>
            <w:r w:rsidR="00DB4069" w:rsidRPr="007D4850">
              <w:rPr>
                <w:rFonts w:cs="Times New Roman"/>
                <w:sz w:val="20"/>
                <w:szCs w:val="20"/>
                <w:lang w:val="lv-LV"/>
              </w:rPr>
              <w:t xml:space="preserve">sākot </w:t>
            </w:r>
            <w:r w:rsidR="00DE15D3" w:rsidRPr="007D4850">
              <w:rPr>
                <w:rFonts w:cs="Times New Roman"/>
                <w:sz w:val="20"/>
                <w:szCs w:val="20"/>
                <w:lang w:val="lv-LV"/>
              </w:rPr>
              <w:t>ar</w:t>
            </w:r>
            <w:r w:rsidR="00DB4069" w:rsidRPr="007D4850">
              <w:rPr>
                <w:rFonts w:cs="Times New Roman"/>
                <w:sz w:val="20"/>
                <w:szCs w:val="20"/>
                <w:lang w:val="lv-LV"/>
              </w:rPr>
              <w:t xml:space="preserve"> 2023.gada </w:t>
            </w:r>
            <w:r w:rsidR="002B056E" w:rsidRPr="007D4850">
              <w:rPr>
                <w:rFonts w:cs="Times New Roman"/>
                <w:sz w:val="20"/>
                <w:szCs w:val="20"/>
                <w:lang w:val="lv-LV"/>
              </w:rPr>
              <w:t>janvār</w:t>
            </w:r>
            <w:r w:rsidR="00DE15D3" w:rsidRPr="007D4850">
              <w:rPr>
                <w:rFonts w:cs="Times New Roman"/>
                <w:sz w:val="20"/>
                <w:szCs w:val="20"/>
                <w:lang w:val="lv-LV"/>
              </w:rPr>
              <w:t>i</w:t>
            </w:r>
            <w:r w:rsidR="00DB4069" w:rsidRPr="007D4850">
              <w:rPr>
                <w:rFonts w:cs="Times New Roman"/>
                <w:sz w:val="20"/>
                <w:szCs w:val="20"/>
                <w:lang w:val="lv-LV"/>
              </w:rPr>
              <w:t xml:space="preserve">, </w:t>
            </w:r>
            <w:r w:rsidR="00E43041" w:rsidRPr="007D4850">
              <w:rPr>
                <w:rFonts w:cs="Times New Roman"/>
                <w:sz w:val="20"/>
                <w:szCs w:val="20"/>
                <w:lang w:val="lv-LV"/>
              </w:rPr>
              <w:t xml:space="preserve">pēc </w:t>
            </w:r>
            <w:r w:rsidR="00E86E05" w:rsidRPr="007D4850">
              <w:rPr>
                <w:rFonts w:cs="Times New Roman"/>
                <w:sz w:val="20"/>
                <w:szCs w:val="20"/>
                <w:lang w:val="lv-LV"/>
              </w:rPr>
              <w:t>jebkuras</w:t>
            </w:r>
            <w:r w:rsidR="004B4306" w:rsidRPr="007D4850">
              <w:rPr>
                <w:rFonts w:cs="Times New Roman"/>
                <w:sz w:val="20"/>
                <w:szCs w:val="20"/>
                <w:lang w:val="lv-LV"/>
              </w:rPr>
              <w:t xml:space="preserve"> Puses rakstiska ierosinājuma, </w:t>
            </w:r>
            <w:r w:rsidR="002B056E" w:rsidRPr="007D4850">
              <w:rPr>
                <w:rFonts w:cs="Times New Roman"/>
                <w:sz w:val="20"/>
                <w:szCs w:val="20"/>
                <w:lang w:val="lv-LV"/>
              </w:rPr>
              <w:t>ne biežā</w:t>
            </w:r>
            <w:r w:rsidR="00E86E05" w:rsidRPr="007D4850">
              <w:rPr>
                <w:rFonts w:cs="Times New Roman"/>
                <w:sz w:val="20"/>
                <w:szCs w:val="20"/>
                <w:lang w:val="lv-LV"/>
              </w:rPr>
              <w:t>k</w:t>
            </w:r>
            <w:r w:rsidR="002B056E" w:rsidRPr="007D4850">
              <w:rPr>
                <w:rFonts w:cs="Times New Roman"/>
                <w:sz w:val="20"/>
                <w:szCs w:val="20"/>
                <w:lang w:val="lv-LV"/>
              </w:rPr>
              <w:t xml:space="preserve"> kā reizi gadā </w:t>
            </w:r>
            <w:r w:rsidR="006646B7" w:rsidRPr="007D4850">
              <w:rPr>
                <w:rFonts w:cs="Times New Roman"/>
                <w:sz w:val="20"/>
                <w:szCs w:val="20"/>
                <w:lang w:val="lv-LV"/>
              </w:rPr>
              <w:t xml:space="preserve">Puses </w:t>
            </w:r>
            <w:r w:rsidR="00E86E05" w:rsidRPr="007D4850">
              <w:rPr>
                <w:rFonts w:cs="Times New Roman"/>
                <w:sz w:val="20"/>
                <w:szCs w:val="20"/>
                <w:lang w:val="lv-LV"/>
              </w:rPr>
              <w:t xml:space="preserve">var </w:t>
            </w:r>
            <w:r w:rsidR="001344C1" w:rsidRPr="007D4850">
              <w:rPr>
                <w:rFonts w:cs="Times New Roman"/>
                <w:sz w:val="20"/>
                <w:szCs w:val="20"/>
                <w:lang w:val="lv-LV"/>
              </w:rPr>
              <w:t>pārskat</w:t>
            </w:r>
            <w:r w:rsidR="00E86E05" w:rsidRPr="007D4850">
              <w:rPr>
                <w:rFonts w:cs="Times New Roman"/>
                <w:sz w:val="20"/>
                <w:szCs w:val="20"/>
                <w:lang w:val="lv-LV"/>
              </w:rPr>
              <w:t>īt</w:t>
            </w:r>
            <w:r w:rsidR="001344C1" w:rsidRPr="007D4850">
              <w:rPr>
                <w:rFonts w:cs="Times New Roman"/>
                <w:sz w:val="20"/>
                <w:szCs w:val="20"/>
                <w:lang w:val="lv-LV"/>
              </w:rPr>
              <w:t xml:space="preserve"> </w:t>
            </w:r>
            <w:r w:rsidR="00E43041" w:rsidRPr="007D4850">
              <w:rPr>
                <w:rFonts w:cs="Times New Roman"/>
                <w:sz w:val="20"/>
                <w:szCs w:val="20"/>
                <w:lang w:val="lv-LV"/>
              </w:rPr>
              <w:t>Vienošanās 5.3. punktā noteikto</w:t>
            </w:r>
            <w:r w:rsidR="007A437C" w:rsidRPr="007D4850">
              <w:rPr>
                <w:rFonts w:cs="Times New Roman"/>
                <w:sz w:val="20"/>
                <w:szCs w:val="20"/>
                <w:lang w:val="lv-LV"/>
              </w:rPr>
              <w:t xml:space="preserve"> iepakojum</w:t>
            </w:r>
            <w:r w:rsidR="00625D5F" w:rsidRPr="007D4850">
              <w:rPr>
                <w:rFonts w:cs="Times New Roman"/>
                <w:sz w:val="20"/>
                <w:szCs w:val="20"/>
                <w:lang w:val="lv-LV"/>
              </w:rPr>
              <w:t>u sadales principu.</w:t>
            </w:r>
            <w:r w:rsidR="00E43041" w:rsidRPr="007D4850">
              <w:rPr>
                <w:rFonts w:cs="Times New Roman"/>
                <w:sz w:val="20"/>
                <w:szCs w:val="20"/>
                <w:lang w:val="lv-LV"/>
              </w:rPr>
              <w:t xml:space="preserve"> </w:t>
            </w:r>
          </w:p>
          <w:p w14:paraId="2595A643" w14:textId="7A30A243" w:rsidR="00F31605" w:rsidRPr="007D4850" w:rsidRDefault="00F31605" w:rsidP="00996381">
            <w:pPr>
              <w:pStyle w:val="ListParagraph"/>
              <w:numPr>
                <w:ilvl w:val="0"/>
                <w:numId w:val="11"/>
              </w:numPr>
              <w:spacing w:before="120" w:after="120"/>
              <w:ind w:left="604" w:hanging="568"/>
              <w:contextualSpacing w:val="0"/>
              <w:jc w:val="both"/>
              <w:rPr>
                <w:rFonts w:cs="Times New Roman"/>
                <w:sz w:val="20"/>
                <w:szCs w:val="20"/>
                <w:lang w:val="lv-LV"/>
              </w:rPr>
            </w:pPr>
            <w:r w:rsidRPr="007D4850">
              <w:rPr>
                <w:rFonts w:cs="Times New Roman"/>
                <w:sz w:val="20"/>
                <w:szCs w:val="20"/>
                <w:lang w:val="lv-LV"/>
              </w:rPr>
              <w:lastRenderedPageBreak/>
              <w:t xml:space="preserve">Puses vienojas, ka īpašumtiesības uz Universālo </w:t>
            </w:r>
            <w:r w:rsidR="00F9138A" w:rsidRPr="007D4850">
              <w:rPr>
                <w:rFonts w:cs="Times New Roman"/>
                <w:sz w:val="20"/>
                <w:szCs w:val="20"/>
                <w:lang w:val="lv-LV"/>
              </w:rPr>
              <w:t xml:space="preserve">AU </w:t>
            </w:r>
            <w:r w:rsidRPr="007D4850">
              <w:rPr>
                <w:rFonts w:cs="Times New Roman"/>
                <w:sz w:val="20"/>
                <w:szCs w:val="20"/>
                <w:lang w:val="lv-LV"/>
              </w:rPr>
              <w:t xml:space="preserve">iepakojumu no DIO pāriet Depozīta iepakotājam brīdī, kad Depozīta iepakotājs pieņēmis Universālo </w:t>
            </w:r>
            <w:r w:rsidR="00F9138A" w:rsidRPr="007D4850">
              <w:rPr>
                <w:rFonts w:cs="Times New Roman"/>
                <w:sz w:val="20"/>
                <w:szCs w:val="20"/>
                <w:lang w:val="lv-LV"/>
              </w:rPr>
              <w:t xml:space="preserve">AU </w:t>
            </w:r>
            <w:r w:rsidRPr="007D4850">
              <w:rPr>
                <w:rFonts w:cs="Times New Roman"/>
                <w:sz w:val="20"/>
                <w:szCs w:val="20"/>
                <w:lang w:val="lv-LV"/>
              </w:rPr>
              <w:t xml:space="preserve">iepakojumu no DIO atbilstoši šai Vienošanās.  </w:t>
            </w:r>
          </w:p>
        </w:tc>
      </w:tr>
      <w:tr w:rsidR="00F8631D" w:rsidRPr="007D4850" w14:paraId="39C351E4" w14:textId="77777777" w:rsidTr="00D52BE9">
        <w:trPr>
          <w:gridAfter w:val="1"/>
          <w:wAfter w:w="82" w:type="dxa"/>
        </w:trPr>
        <w:tc>
          <w:tcPr>
            <w:tcW w:w="9924" w:type="dxa"/>
            <w:gridSpan w:val="2"/>
          </w:tcPr>
          <w:p w14:paraId="5A062B98" w14:textId="13F3B59C" w:rsidR="00F8631D" w:rsidRPr="00996381" w:rsidRDefault="009A1F95" w:rsidP="00996381">
            <w:pPr>
              <w:pStyle w:val="ListParagraph"/>
              <w:numPr>
                <w:ilvl w:val="0"/>
                <w:numId w:val="11"/>
              </w:numPr>
              <w:spacing w:before="120" w:after="120"/>
              <w:ind w:left="604" w:hanging="615"/>
              <w:contextualSpacing w:val="0"/>
              <w:jc w:val="both"/>
              <w:rPr>
                <w:rFonts w:cs="Times New Roman"/>
                <w:sz w:val="20"/>
                <w:szCs w:val="20"/>
                <w:lang w:val="lv-LV"/>
              </w:rPr>
            </w:pPr>
            <w:r w:rsidRPr="007D4850">
              <w:rPr>
                <w:rFonts w:cs="Times New Roman"/>
                <w:sz w:val="20"/>
                <w:szCs w:val="20"/>
                <w:lang w:val="lv-LV"/>
              </w:rPr>
              <w:lastRenderedPageBreak/>
              <w:t xml:space="preserve">Depozīta iepakotājs nedrīkst atteikties no sev piekrītošās Universālā </w:t>
            </w:r>
            <w:r w:rsidR="007B0555" w:rsidRPr="007D4850">
              <w:rPr>
                <w:rFonts w:cs="Times New Roman"/>
                <w:sz w:val="20"/>
                <w:szCs w:val="20"/>
                <w:lang w:val="lv-LV"/>
              </w:rPr>
              <w:t xml:space="preserve">AU </w:t>
            </w:r>
            <w:r w:rsidRPr="007D4850">
              <w:rPr>
                <w:rFonts w:cs="Times New Roman"/>
                <w:sz w:val="20"/>
                <w:szCs w:val="20"/>
                <w:lang w:val="lv-LV"/>
              </w:rPr>
              <w:t xml:space="preserve">iepakojuma proporcijas, taču tas var nodot savas tiesības un pienākumu </w:t>
            </w:r>
            <w:r w:rsidR="006F0D70" w:rsidRPr="007D4850">
              <w:rPr>
                <w:rFonts w:cs="Times New Roman"/>
                <w:sz w:val="20"/>
                <w:szCs w:val="20"/>
                <w:lang w:val="lv-LV"/>
              </w:rPr>
              <w:t>pieņemt šo</w:t>
            </w:r>
            <w:r w:rsidRPr="007D4850">
              <w:rPr>
                <w:rFonts w:cs="Times New Roman"/>
                <w:sz w:val="20"/>
                <w:szCs w:val="20"/>
                <w:lang w:val="lv-LV"/>
              </w:rPr>
              <w:t xml:space="preserve"> iepakojum</w:t>
            </w:r>
            <w:r w:rsidR="006F0D70" w:rsidRPr="007D4850">
              <w:rPr>
                <w:rFonts w:cs="Times New Roman"/>
                <w:sz w:val="20"/>
                <w:szCs w:val="20"/>
                <w:lang w:val="lv-LV"/>
              </w:rPr>
              <w:t>u</w:t>
            </w:r>
            <w:r w:rsidRPr="007D4850">
              <w:rPr>
                <w:rFonts w:cs="Times New Roman"/>
                <w:sz w:val="20"/>
                <w:szCs w:val="20"/>
                <w:lang w:val="lv-LV"/>
              </w:rPr>
              <w:t xml:space="preserve"> </w:t>
            </w:r>
            <w:r w:rsidR="006F0D70" w:rsidRPr="007D4850">
              <w:rPr>
                <w:rFonts w:cs="Times New Roman"/>
                <w:sz w:val="20"/>
                <w:szCs w:val="20"/>
                <w:lang w:val="lv-LV"/>
              </w:rPr>
              <w:t xml:space="preserve">un izmantot to atkārtoti </w:t>
            </w:r>
            <w:r w:rsidRPr="007D4850">
              <w:rPr>
                <w:rFonts w:cs="Times New Roman"/>
                <w:sz w:val="20"/>
                <w:szCs w:val="20"/>
                <w:lang w:val="lv-LV"/>
              </w:rPr>
              <w:t>citam Depozīta iepakotājam, to apliecinot ar abpusēji parakstītu vienošanos</w:t>
            </w:r>
            <w:r w:rsidR="00E05B15" w:rsidRPr="007D4850">
              <w:rPr>
                <w:rFonts w:cs="Times New Roman"/>
                <w:sz w:val="20"/>
                <w:szCs w:val="20"/>
                <w:lang w:val="lv-LV"/>
              </w:rPr>
              <w:t>, ko iesniedz DIO elektroniskā veidā</w:t>
            </w:r>
            <w:r w:rsidR="00C00E81">
              <w:rPr>
                <w:rFonts w:cs="Times New Roman"/>
                <w:sz w:val="20"/>
                <w:szCs w:val="20"/>
                <w:lang w:val="lv-LV"/>
              </w:rPr>
              <w:t>.</w:t>
            </w:r>
          </w:p>
        </w:tc>
      </w:tr>
      <w:tr w:rsidR="00996381" w:rsidRPr="007D4850" w14:paraId="6E4EECF8" w14:textId="77777777" w:rsidTr="00D52BE9">
        <w:trPr>
          <w:gridAfter w:val="1"/>
          <w:wAfter w:w="82" w:type="dxa"/>
        </w:trPr>
        <w:tc>
          <w:tcPr>
            <w:tcW w:w="9924" w:type="dxa"/>
            <w:gridSpan w:val="2"/>
          </w:tcPr>
          <w:p w14:paraId="32B53F6C" w14:textId="34E1093D" w:rsidR="00996381" w:rsidRPr="007D4850" w:rsidRDefault="00996381" w:rsidP="00996381">
            <w:pPr>
              <w:pStyle w:val="ListParagraph"/>
              <w:numPr>
                <w:ilvl w:val="0"/>
                <w:numId w:val="11"/>
              </w:numPr>
              <w:spacing w:before="120" w:after="120"/>
              <w:ind w:left="604" w:hanging="615"/>
              <w:contextualSpacing w:val="0"/>
              <w:jc w:val="both"/>
              <w:rPr>
                <w:rFonts w:cs="Times New Roman"/>
                <w:sz w:val="20"/>
                <w:szCs w:val="20"/>
                <w:lang w:val="lv-LV"/>
              </w:rPr>
            </w:pPr>
            <w:r w:rsidRPr="007D4850">
              <w:rPr>
                <w:rFonts w:cs="Times New Roman"/>
                <w:sz w:val="20"/>
                <w:szCs w:val="20"/>
                <w:lang w:val="lv-LV"/>
              </w:rPr>
              <w:t xml:space="preserve">Šīs Vienošanās </w:t>
            </w:r>
            <w:r w:rsidR="00C00E81">
              <w:rPr>
                <w:rFonts w:cs="Times New Roman"/>
                <w:sz w:val="20"/>
                <w:szCs w:val="20"/>
                <w:lang w:val="lv-LV"/>
              </w:rPr>
              <w:t>10</w:t>
            </w:r>
            <w:r w:rsidRPr="007D4850">
              <w:rPr>
                <w:rFonts w:cs="Times New Roman"/>
                <w:sz w:val="20"/>
                <w:szCs w:val="20"/>
                <w:lang w:val="lv-LV"/>
              </w:rPr>
              <w:t>.punktā minētās vienošanās noslēgšana neatbrīvo Depozīta iepakotāju no atbildības par punktā 6.6. minētās atskaites iesniegšanu un tajā ietverto datu patiesumu</w:t>
            </w:r>
          </w:p>
        </w:tc>
      </w:tr>
      <w:tr w:rsidR="00681B43" w:rsidRPr="007D4850" w14:paraId="42C32DF4" w14:textId="77777777" w:rsidTr="00D52BE9">
        <w:trPr>
          <w:gridAfter w:val="1"/>
          <w:wAfter w:w="82" w:type="dxa"/>
        </w:trPr>
        <w:tc>
          <w:tcPr>
            <w:tcW w:w="9924" w:type="dxa"/>
            <w:gridSpan w:val="2"/>
          </w:tcPr>
          <w:p w14:paraId="34191EE6" w14:textId="72332DC6" w:rsidR="00681B43" w:rsidRPr="007D4850" w:rsidRDefault="00681B43" w:rsidP="00C00E81">
            <w:pPr>
              <w:pStyle w:val="ListParagraph"/>
              <w:numPr>
                <w:ilvl w:val="0"/>
                <w:numId w:val="11"/>
              </w:numPr>
              <w:spacing w:before="120" w:after="120"/>
              <w:ind w:left="604" w:hanging="615"/>
              <w:contextualSpacing w:val="0"/>
              <w:jc w:val="both"/>
              <w:rPr>
                <w:rFonts w:cs="Times New Roman"/>
                <w:sz w:val="20"/>
                <w:szCs w:val="20"/>
                <w:lang w:val="lv-LV"/>
              </w:rPr>
            </w:pPr>
            <w:r w:rsidRPr="007D4850">
              <w:rPr>
                <w:rFonts w:cs="Times New Roman"/>
                <w:sz w:val="20"/>
                <w:szCs w:val="20"/>
                <w:lang w:val="lv-LV"/>
              </w:rPr>
              <w:t xml:space="preserve">Depozīta iepakotājs var atteikties pieņemt no DIO tādu Universālo </w:t>
            </w:r>
            <w:r w:rsidR="003B7D75" w:rsidRPr="007D4850">
              <w:rPr>
                <w:rFonts w:cs="Times New Roman"/>
                <w:sz w:val="20"/>
                <w:szCs w:val="20"/>
                <w:lang w:val="lv-LV"/>
              </w:rPr>
              <w:t xml:space="preserve">AU </w:t>
            </w:r>
            <w:r w:rsidRPr="007D4850">
              <w:rPr>
                <w:rFonts w:cs="Times New Roman"/>
                <w:sz w:val="20"/>
                <w:szCs w:val="20"/>
                <w:lang w:val="lv-LV"/>
              </w:rPr>
              <w:t xml:space="preserve">iepakojumu, kas ir </w:t>
            </w:r>
            <w:r w:rsidR="00BA0E0C" w:rsidRPr="007D4850">
              <w:rPr>
                <w:rFonts w:cs="Times New Roman"/>
                <w:sz w:val="20"/>
                <w:szCs w:val="20"/>
                <w:lang w:val="lv-LV"/>
              </w:rPr>
              <w:t>acīmredzami neatbilstošā stāvoklī (saplīsušas pudeles, neatbilstošas formas pudeles).</w:t>
            </w:r>
          </w:p>
        </w:tc>
      </w:tr>
      <w:tr w:rsidR="00937FF9" w:rsidRPr="007D4850" w14:paraId="07E5E8A6" w14:textId="77777777" w:rsidTr="00D52BE9">
        <w:trPr>
          <w:gridAfter w:val="1"/>
          <w:wAfter w:w="82" w:type="dxa"/>
        </w:trPr>
        <w:tc>
          <w:tcPr>
            <w:tcW w:w="9924" w:type="dxa"/>
            <w:gridSpan w:val="2"/>
          </w:tcPr>
          <w:p w14:paraId="4B70E6A6" w14:textId="29F92C89" w:rsidR="00E862B5" w:rsidRPr="007D4850" w:rsidRDefault="0038584A" w:rsidP="00C00E81">
            <w:pPr>
              <w:pStyle w:val="ListParagraph"/>
              <w:numPr>
                <w:ilvl w:val="0"/>
                <w:numId w:val="11"/>
              </w:numPr>
              <w:spacing w:after="120"/>
              <w:ind w:left="604" w:hanging="604"/>
              <w:jc w:val="both"/>
              <w:rPr>
                <w:rFonts w:cs="Times New Roman"/>
                <w:sz w:val="20"/>
                <w:szCs w:val="20"/>
                <w:lang w:val="lv-LV"/>
              </w:rPr>
            </w:pPr>
            <w:r w:rsidRPr="007D4850">
              <w:rPr>
                <w:rFonts w:cs="Times New Roman"/>
                <w:sz w:val="20"/>
                <w:szCs w:val="20"/>
                <w:lang w:val="lv-LV"/>
              </w:rPr>
              <w:t xml:space="preserve">Reizi mēnesī </w:t>
            </w:r>
            <w:r w:rsidR="00634534" w:rsidRPr="007D4850">
              <w:rPr>
                <w:rFonts w:cs="Times New Roman"/>
                <w:sz w:val="20"/>
                <w:szCs w:val="20"/>
                <w:lang w:val="lv-LV"/>
              </w:rPr>
              <w:t>līdz mēneša 10 datuma</w:t>
            </w:r>
            <w:r w:rsidR="00C16148" w:rsidRPr="007D4850">
              <w:rPr>
                <w:rFonts w:cs="Times New Roman"/>
                <w:sz w:val="20"/>
                <w:szCs w:val="20"/>
                <w:lang w:val="lv-LV"/>
              </w:rPr>
              <w:t xml:space="preserve">m </w:t>
            </w:r>
            <w:r w:rsidRPr="007D4850">
              <w:rPr>
                <w:rFonts w:cs="Times New Roman"/>
                <w:sz w:val="20"/>
                <w:szCs w:val="20"/>
                <w:lang w:val="lv-LV"/>
              </w:rPr>
              <w:t>Depozīta iepakotājs</w:t>
            </w:r>
            <w:r w:rsidR="00E862B5" w:rsidRPr="007D4850">
              <w:rPr>
                <w:rFonts w:cs="Times New Roman"/>
                <w:sz w:val="20"/>
                <w:szCs w:val="20"/>
                <w:lang w:val="lv-LV"/>
              </w:rPr>
              <w:t xml:space="preserve"> </w:t>
            </w:r>
            <w:r w:rsidR="00634534" w:rsidRPr="007D4850">
              <w:rPr>
                <w:rFonts w:cs="Times New Roman"/>
                <w:sz w:val="20"/>
                <w:szCs w:val="20"/>
                <w:lang w:val="lv-LV"/>
              </w:rPr>
              <w:t xml:space="preserve">sniedz DIO pārskatu par </w:t>
            </w:r>
            <w:r w:rsidR="00E862B5" w:rsidRPr="007D4850">
              <w:rPr>
                <w:rFonts w:cs="Times New Roman"/>
                <w:sz w:val="20"/>
                <w:szCs w:val="20"/>
                <w:lang w:val="lv-LV"/>
              </w:rPr>
              <w:t xml:space="preserve">kastu un palešu skaitu, kas </w:t>
            </w:r>
            <w:r w:rsidR="00C16148" w:rsidRPr="007D4850">
              <w:rPr>
                <w:rFonts w:cs="Times New Roman"/>
                <w:sz w:val="20"/>
                <w:szCs w:val="20"/>
                <w:lang w:val="lv-LV"/>
              </w:rPr>
              <w:t>iepriekšējā mēnesī</w:t>
            </w:r>
            <w:r w:rsidR="00E862B5" w:rsidRPr="007D4850">
              <w:rPr>
                <w:rFonts w:cs="Times New Roman"/>
                <w:sz w:val="20"/>
                <w:szCs w:val="20"/>
                <w:lang w:val="lv-LV"/>
              </w:rPr>
              <w:t xml:space="preserve"> saņemtas no </w:t>
            </w:r>
            <w:r w:rsidR="00E86E05" w:rsidRPr="007D4850">
              <w:rPr>
                <w:rFonts w:cs="Times New Roman"/>
                <w:sz w:val="20"/>
                <w:szCs w:val="20"/>
                <w:lang w:val="lv-LV"/>
              </w:rPr>
              <w:t>DIO</w:t>
            </w:r>
            <w:r w:rsidR="00E862B5" w:rsidRPr="007D4850">
              <w:rPr>
                <w:rFonts w:cs="Times New Roman"/>
                <w:sz w:val="20"/>
                <w:szCs w:val="20"/>
                <w:lang w:val="lv-LV"/>
              </w:rPr>
              <w:t xml:space="preserve"> un/vai kuras </w:t>
            </w:r>
            <w:r w:rsidR="00E86E05" w:rsidRPr="007D4850">
              <w:rPr>
                <w:rFonts w:cs="Times New Roman"/>
                <w:sz w:val="20"/>
                <w:szCs w:val="20"/>
                <w:lang w:val="lv-LV"/>
              </w:rPr>
              <w:t xml:space="preserve">Depozīta iepakotājs </w:t>
            </w:r>
            <w:r w:rsidR="00E862B5" w:rsidRPr="007D4850">
              <w:rPr>
                <w:rFonts w:cs="Times New Roman"/>
                <w:sz w:val="20"/>
                <w:szCs w:val="20"/>
                <w:lang w:val="lv-LV"/>
              </w:rPr>
              <w:t xml:space="preserve">piegādājis </w:t>
            </w:r>
            <w:r w:rsidR="00E86E05" w:rsidRPr="007D4850">
              <w:rPr>
                <w:rFonts w:cs="Times New Roman"/>
                <w:sz w:val="20"/>
                <w:szCs w:val="20"/>
                <w:lang w:val="lv-LV"/>
              </w:rPr>
              <w:t>DIO</w:t>
            </w:r>
            <w:r w:rsidR="00E862B5" w:rsidRPr="007D4850">
              <w:rPr>
                <w:rFonts w:cs="Times New Roman"/>
                <w:sz w:val="20"/>
                <w:szCs w:val="20"/>
                <w:lang w:val="lv-LV"/>
              </w:rPr>
              <w:t xml:space="preserve">. Gadījumā, ja piegādāto/saņemto kastu/palešu skaits pārskata periodā nebūs vienāds, starpībai tiks aprēķināta maksājamā vērtība, balstoties uz sekojošām cenām: </w:t>
            </w:r>
          </w:p>
          <w:p w14:paraId="454D3B1B" w14:textId="733178CB" w:rsidR="00E862B5" w:rsidRDefault="00E862B5" w:rsidP="00C00E81">
            <w:pPr>
              <w:pStyle w:val="ListParagraph"/>
              <w:numPr>
                <w:ilvl w:val="0"/>
                <w:numId w:val="12"/>
              </w:numPr>
              <w:spacing w:after="120"/>
              <w:ind w:left="633" w:firstLine="0"/>
              <w:jc w:val="both"/>
              <w:rPr>
                <w:rFonts w:cs="Times New Roman"/>
                <w:sz w:val="20"/>
                <w:szCs w:val="20"/>
              </w:rPr>
            </w:pPr>
            <w:r w:rsidRPr="007D4850">
              <w:rPr>
                <w:rFonts w:cs="Times New Roman"/>
                <w:sz w:val="20"/>
                <w:szCs w:val="20"/>
              </w:rPr>
              <w:t>EUR 8 (astoņi eiro) par vienu paleti;</w:t>
            </w:r>
          </w:p>
          <w:p w14:paraId="3EE15B9E" w14:textId="77777777" w:rsidR="00E862B5" w:rsidRPr="00C00E81" w:rsidRDefault="00E862B5" w:rsidP="00C00E81">
            <w:pPr>
              <w:pStyle w:val="ListParagraph"/>
              <w:numPr>
                <w:ilvl w:val="0"/>
                <w:numId w:val="12"/>
              </w:numPr>
              <w:spacing w:after="120"/>
              <w:ind w:left="633" w:firstLine="0"/>
              <w:jc w:val="both"/>
              <w:rPr>
                <w:rFonts w:cs="Times New Roman"/>
                <w:sz w:val="20"/>
                <w:szCs w:val="20"/>
              </w:rPr>
            </w:pPr>
            <w:r w:rsidRPr="00C00E81">
              <w:rPr>
                <w:rFonts w:cs="Times New Roman"/>
                <w:sz w:val="20"/>
                <w:szCs w:val="20"/>
              </w:rPr>
              <w:t xml:space="preserve">EUR 4 (četri eiro) par vienu kasti. </w:t>
            </w:r>
          </w:p>
          <w:p w14:paraId="01CBF0EA" w14:textId="3F35DACA" w:rsidR="00937FF9" w:rsidRPr="00C00E81" w:rsidRDefault="00E862B5" w:rsidP="00C00E81">
            <w:pPr>
              <w:spacing w:after="120"/>
              <w:ind w:left="604"/>
              <w:jc w:val="both"/>
              <w:rPr>
                <w:rFonts w:cs="Times New Roman"/>
                <w:sz w:val="20"/>
                <w:szCs w:val="20"/>
              </w:rPr>
            </w:pPr>
            <w:r w:rsidRPr="007D4850">
              <w:rPr>
                <w:rFonts w:cs="Times New Roman"/>
                <w:sz w:val="20"/>
                <w:szCs w:val="20"/>
              </w:rPr>
              <w:t>Puse, kura pārskata periodā būs piegādājusi vairāk kastu un/vai palešu, maksās otrai Pusei aprēķināto summu par pārsniegto palešu un/vai kastu skaitu.</w:t>
            </w:r>
          </w:p>
        </w:tc>
      </w:tr>
      <w:tr w:rsidR="00C00E81" w:rsidRPr="007D4850" w14:paraId="6E11EF9F" w14:textId="77777777" w:rsidTr="00D52BE9">
        <w:trPr>
          <w:gridAfter w:val="1"/>
          <w:wAfter w:w="82" w:type="dxa"/>
        </w:trPr>
        <w:tc>
          <w:tcPr>
            <w:tcW w:w="9924" w:type="dxa"/>
            <w:gridSpan w:val="2"/>
          </w:tcPr>
          <w:p w14:paraId="3640C6A8" w14:textId="0C30CC16" w:rsidR="00C00E81" w:rsidRPr="00C00E81" w:rsidRDefault="00C00E81" w:rsidP="00C00E81">
            <w:pPr>
              <w:pStyle w:val="ListParagraph"/>
              <w:numPr>
                <w:ilvl w:val="0"/>
                <w:numId w:val="11"/>
              </w:numPr>
              <w:spacing w:after="120"/>
              <w:ind w:left="607" w:hanging="607"/>
              <w:jc w:val="both"/>
              <w:rPr>
                <w:rFonts w:cs="Times New Roman"/>
                <w:sz w:val="20"/>
                <w:szCs w:val="20"/>
                <w:lang w:val="lv-LV"/>
              </w:rPr>
            </w:pPr>
            <w:r w:rsidRPr="007D4850">
              <w:rPr>
                <w:rFonts w:cs="Times New Roman"/>
                <w:sz w:val="20"/>
                <w:szCs w:val="20"/>
                <w:lang w:val="lv-LV"/>
              </w:rPr>
              <w:t>Ja konstatēts, ka Universālā iepakojuma Transportēšanas materiāli ir bojāti, Puses neveiks apmaksu par bojātajiem Transportēšanas materiāliem (kastēm un paletēm). Bojājumu novērtēšanā DIO apņemas vadīties pēc ECR standartiem.</w:t>
            </w:r>
          </w:p>
        </w:tc>
      </w:tr>
      <w:tr w:rsidR="00C00E81" w:rsidRPr="007D4850" w14:paraId="3C7490E9" w14:textId="77777777" w:rsidTr="00D52BE9">
        <w:trPr>
          <w:gridAfter w:val="1"/>
          <w:wAfter w:w="82" w:type="dxa"/>
        </w:trPr>
        <w:tc>
          <w:tcPr>
            <w:tcW w:w="9924" w:type="dxa"/>
            <w:gridSpan w:val="2"/>
          </w:tcPr>
          <w:p w14:paraId="4827DDCB" w14:textId="5EE7FE27" w:rsidR="00C00E81" w:rsidRPr="007D4850" w:rsidRDefault="00C00E81" w:rsidP="00C00E81">
            <w:pPr>
              <w:pStyle w:val="ListParagraph"/>
              <w:numPr>
                <w:ilvl w:val="0"/>
                <w:numId w:val="11"/>
              </w:numPr>
              <w:spacing w:after="120"/>
              <w:ind w:left="607" w:hanging="607"/>
              <w:jc w:val="both"/>
              <w:rPr>
                <w:rFonts w:cs="Times New Roman"/>
                <w:sz w:val="20"/>
                <w:szCs w:val="20"/>
                <w:lang w:val="lv-LV"/>
              </w:rPr>
            </w:pPr>
            <w:r w:rsidRPr="007D4850">
              <w:rPr>
                <w:rFonts w:cs="Times New Roman"/>
                <w:sz w:val="20"/>
                <w:szCs w:val="20"/>
                <w:lang w:val="lv-LV" w:bidi="lv-LV"/>
              </w:rPr>
              <w:t>Reaģējot uz tirgus izmaiņām, DIO ir tiesības vienpusēji grozīt 13. punktā norādītās cenas, par to paziņojot Pārdevējam 30 (trīsdesmit) dienas iepriekš.</w:t>
            </w:r>
          </w:p>
        </w:tc>
      </w:tr>
      <w:tr w:rsidR="00C00E81" w:rsidRPr="007D4850" w14:paraId="251DA6A7" w14:textId="77777777" w:rsidTr="00D52BE9">
        <w:trPr>
          <w:gridAfter w:val="1"/>
          <w:wAfter w:w="82" w:type="dxa"/>
        </w:trPr>
        <w:tc>
          <w:tcPr>
            <w:tcW w:w="9924" w:type="dxa"/>
            <w:gridSpan w:val="2"/>
          </w:tcPr>
          <w:p w14:paraId="6961CEA4" w14:textId="77777777" w:rsidR="00C00E81" w:rsidRDefault="00C00E81" w:rsidP="00C00E81">
            <w:pPr>
              <w:pStyle w:val="ListParagraph"/>
              <w:numPr>
                <w:ilvl w:val="0"/>
                <w:numId w:val="11"/>
              </w:numPr>
              <w:spacing w:after="80" w:line="276" w:lineRule="auto"/>
              <w:ind w:left="604" w:hanging="604"/>
              <w:jc w:val="both"/>
              <w:rPr>
                <w:rFonts w:cs="Times New Roman"/>
                <w:sz w:val="20"/>
                <w:szCs w:val="20"/>
                <w:lang w:val="lv-LV"/>
              </w:rPr>
            </w:pPr>
            <w:r w:rsidRPr="007D4850">
              <w:rPr>
                <w:rFonts w:cs="Times New Roman"/>
                <w:sz w:val="20"/>
                <w:szCs w:val="20"/>
                <w:lang w:val="lv-LV"/>
              </w:rPr>
              <w:t>Puses vienojas, ka ir pieļaujams dabiskais palešu un kastu nolietojums šādā apmērā:</w:t>
            </w:r>
          </w:p>
          <w:p w14:paraId="659C17AE" w14:textId="77777777" w:rsidR="00C00E81" w:rsidRDefault="00C00E81" w:rsidP="00C00E81">
            <w:pPr>
              <w:pStyle w:val="ListParagraph"/>
              <w:numPr>
                <w:ilvl w:val="0"/>
                <w:numId w:val="12"/>
              </w:numPr>
              <w:spacing w:after="80" w:line="276" w:lineRule="auto"/>
              <w:jc w:val="both"/>
              <w:rPr>
                <w:rFonts w:cs="Times New Roman"/>
                <w:sz w:val="20"/>
                <w:szCs w:val="20"/>
                <w:lang w:val="lv-LV"/>
              </w:rPr>
            </w:pPr>
            <w:r w:rsidRPr="00C00E81">
              <w:rPr>
                <w:rFonts w:cs="Times New Roman"/>
                <w:sz w:val="20"/>
                <w:szCs w:val="20"/>
                <w:lang w:val="lv-LV"/>
              </w:rPr>
              <w:t>Paletes dabiskais nolietojums – 2 % (divi procenti);</w:t>
            </w:r>
          </w:p>
          <w:p w14:paraId="76E0B21B" w14:textId="22B3C512" w:rsidR="00C00E81" w:rsidRPr="00C00E81" w:rsidRDefault="00C00E81" w:rsidP="00C00E81">
            <w:pPr>
              <w:pStyle w:val="ListParagraph"/>
              <w:numPr>
                <w:ilvl w:val="0"/>
                <w:numId w:val="12"/>
              </w:numPr>
              <w:spacing w:after="80" w:line="276" w:lineRule="auto"/>
              <w:jc w:val="both"/>
              <w:rPr>
                <w:rFonts w:cs="Times New Roman"/>
                <w:sz w:val="20"/>
                <w:szCs w:val="20"/>
                <w:lang w:val="lv-LV"/>
              </w:rPr>
            </w:pPr>
            <w:r w:rsidRPr="00C00E81">
              <w:rPr>
                <w:rFonts w:cs="Times New Roman"/>
                <w:sz w:val="20"/>
                <w:szCs w:val="20"/>
                <w:lang w:val="lv-LV"/>
              </w:rPr>
              <w:t>Kastes dabiskais nolietojums – 0,1 % (viena desmitā daļa procenta).</w:t>
            </w:r>
          </w:p>
        </w:tc>
      </w:tr>
      <w:tr w:rsidR="00C00E81" w:rsidRPr="007D4850" w14:paraId="5896A0DF" w14:textId="77777777" w:rsidTr="00D52BE9">
        <w:trPr>
          <w:gridAfter w:val="1"/>
          <w:wAfter w:w="82" w:type="dxa"/>
        </w:trPr>
        <w:tc>
          <w:tcPr>
            <w:tcW w:w="9924" w:type="dxa"/>
            <w:gridSpan w:val="2"/>
          </w:tcPr>
          <w:p w14:paraId="2B8641CA" w14:textId="25A67796" w:rsidR="00C00E81" w:rsidRPr="007D4850" w:rsidRDefault="00C00E81" w:rsidP="00996381">
            <w:pPr>
              <w:pStyle w:val="ListParagraph"/>
              <w:numPr>
                <w:ilvl w:val="0"/>
                <w:numId w:val="11"/>
              </w:numPr>
              <w:spacing w:before="120" w:after="120"/>
              <w:ind w:left="604" w:hanging="568"/>
              <w:contextualSpacing w:val="0"/>
              <w:jc w:val="both"/>
              <w:rPr>
                <w:rFonts w:cs="Times New Roman"/>
                <w:sz w:val="20"/>
                <w:szCs w:val="20"/>
                <w:lang w:val="lv-LV"/>
              </w:rPr>
            </w:pPr>
            <w:r w:rsidRPr="007D4850">
              <w:rPr>
                <w:rFonts w:cs="Times New Roman"/>
                <w:sz w:val="20"/>
                <w:szCs w:val="20"/>
                <w:lang w:val="lv-LV"/>
              </w:rPr>
              <w:t>Gadījumā, ja Depozīta iepakotājs nepaņem Universālo AU iepakojumu  Vienošanās 6.3. punktā minētajā termiņā, Depozīta iepakotājs maksā DIO līgumsodu EUR 10 (desmit eiro) par pirmo kavēto dienu par paleti, EUR 20 (divdesmit eiro) par katru nākamo kavēto dienu par paleti. Ja Depozīta iepakotājs kavē Universālā AU iepakojuma paņemšanu 10 (desmit) dienas, DIO ir tiesības nepaņemto Universālo AU iepakojumu pārdalīt citiem depozīta iepakotājiem atbilstoši 5.3. punktā noteiktajai proporcijai un Depozīta iepakotājam nav tiesību celt jebkādus iebildumus pret DIO vai citām personām par šādu rīcību vai tās rezultātā nodarītiem zaudējumiem.</w:t>
            </w:r>
          </w:p>
        </w:tc>
      </w:tr>
      <w:tr w:rsidR="00681B43" w:rsidRPr="007D4850" w14:paraId="5FC52060" w14:textId="77777777" w:rsidTr="00D52BE9">
        <w:trPr>
          <w:gridAfter w:val="1"/>
          <w:wAfter w:w="82" w:type="dxa"/>
        </w:trPr>
        <w:tc>
          <w:tcPr>
            <w:tcW w:w="9924" w:type="dxa"/>
            <w:gridSpan w:val="2"/>
          </w:tcPr>
          <w:p w14:paraId="278977C9" w14:textId="7E2972C3" w:rsidR="00681B43" w:rsidRPr="007D4850" w:rsidRDefault="00681B43" w:rsidP="00996381">
            <w:pPr>
              <w:pStyle w:val="ListParagraph"/>
              <w:numPr>
                <w:ilvl w:val="0"/>
                <w:numId w:val="11"/>
              </w:numPr>
              <w:spacing w:before="120" w:after="120"/>
              <w:ind w:left="604" w:hanging="568"/>
              <w:contextualSpacing w:val="0"/>
              <w:jc w:val="both"/>
              <w:rPr>
                <w:rFonts w:cs="Times New Roman"/>
                <w:sz w:val="20"/>
                <w:szCs w:val="20"/>
                <w:lang w:val="lv-LV"/>
              </w:rPr>
            </w:pPr>
            <w:r w:rsidRPr="007D4850">
              <w:rPr>
                <w:rFonts w:cs="Times New Roman"/>
                <w:sz w:val="20"/>
                <w:szCs w:val="20"/>
                <w:lang w:val="lv-LV"/>
              </w:rPr>
              <w:t xml:space="preserve">Gadījumā, ja Depozīta iepakotājs nesniedz DIO informāciju par Universālā </w:t>
            </w:r>
            <w:r w:rsidR="006862C0" w:rsidRPr="007D4850">
              <w:rPr>
                <w:rFonts w:cs="Times New Roman"/>
                <w:sz w:val="20"/>
                <w:szCs w:val="20"/>
                <w:lang w:val="lv-LV"/>
              </w:rPr>
              <w:t xml:space="preserve">AU </w:t>
            </w:r>
            <w:r w:rsidRPr="007D4850">
              <w:rPr>
                <w:rFonts w:cs="Times New Roman"/>
                <w:sz w:val="20"/>
                <w:szCs w:val="20"/>
                <w:lang w:val="lv-LV"/>
              </w:rPr>
              <w:t xml:space="preserve">iepakojuma </w:t>
            </w:r>
            <w:r w:rsidR="003B68B9" w:rsidRPr="007D4850">
              <w:rPr>
                <w:rFonts w:cs="Times New Roman"/>
                <w:sz w:val="20"/>
                <w:szCs w:val="20"/>
                <w:lang w:val="lv-LV"/>
              </w:rPr>
              <w:t>A</w:t>
            </w:r>
            <w:r w:rsidRPr="007D4850">
              <w:rPr>
                <w:rFonts w:cs="Times New Roman"/>
                <w:sz w:val="20"/>
                <w:szCs w:val="20"/>
                <w:lang w:val="lv-LV"/>
              </w:rPr>
              <w:t xml:space="preserve">tkārtotu </w:t>
            </w:r>
            <w:r w:rsidR="003B68B9" w:rsidRPr="007D4850">
              <w:rPr>
                <w:rFonts w:cs="Times New Roman"/>
                <w:sz w:val="20"/>
                <w:szCs w:val="20"/>
                <w:lang w:val="lv-LV"/>
              </w:rPr>
              <w:t xml:space="preserve">uzpildīšanu </w:t>
            </w:r>
            <w:r w:rsidRPr="007D4850">
              <w:rPr>
                <w:rFonts w:cs="Times New Roman"/>
                <w:sz w:val="20"/>
                <w:szCs w:val="20"/>
                <w:lang w:val="lv-LV"/>
              </w:rPr>
              <w:t xml:space="preserve">Vienošanās </w:t>
            </w:r>
            <w:r w:rsidR="00E86E05" w:rsidRPr="007D4850">
              <w:rPr>
                <w:rFonts w:cs="Times New Roman"/>
                <w:sz w:val="20"/>
                <w:szCs w:val="20"/>
                <w:lang w:val="lv-LV"/>
              </w:rPr>
              <w:t>6</w:t>
            </w:r>
            <w:r w:rsidRPr="007D4850">
              <w:rPr>
                <w:rFonts w:cs="Times New Roman"/>
                <w:sz w:val="20"/>
                <w:szCs w:val="20"/>
                <w:lang w:val="lv-LV"/>
              </w:rPr>
              <w:t>.</w:t>
            </w:r>
            <w:r w:rsidR="00521B68" w:rsidRPr="007D4850">
              <w:rPr>
                <w:rFonts w:cs="Times New Roman"/>
                <w:sz w:val="20"/>
                <w:szCs w:val="20"/>
                <w:lang w:val="lv-LV"/>
              </w:rPr>
              <w:t>6</w:t>
            </w:r>
            <w:r w:rsidRPr="007D4850">
              <w:rPr>
                <w:rFonts w:cs="Times New Roman"/>
                <w:sz w:val="20"/>
                <w:szCs w:val="20"/>
                <w:lang w:val="lv-LV"/>
              </w:rPr>
              <w:t>. punktā paredzētajā kārtībā un termiņos</w:t>
            </w:r>
            <w:r w:rsidR="00DD4E8E" w:rsidRPr="007D4850">
              <w:rPr>
                <w:rFonts w:cs="Times New Roman"/>
                <w:sz w:val="20"/>
                <w:szCs w:val="20"/>
              </w:rPr>
              <w:t xml:space="preserve"> </w:t>
            </w:r>
            <w:r w:rsidR="00DD4E8E" w:rsidRPr="007D4850">
              <w:rPr>
                <w:rFonts w:cs="Times New Roman"/>
                <w:sz w:val="20"/>
                <w:szCs w:val="20"/>
                <w:lang w:val="lv-LV"/>
              </w:rPr>
              <w:t>un to neizdara arī 5 ( piecu) darba dienu laikā no rakstiska DIO atgādinājuma</w:t>
            </w:r>
            <w:r w:rsidRPr="007D4850">
              <w:rPr>
                <w:rFonts w:cs="Times New Roman"/>
                <w:sz w:val="20"/>
                <w:szCs w:val="20"/>
                <w:lang w:val="lv-LV"/>
              </w:rPr>
              <w:t xml:space="preserve">, DIO ir tiesības piemērot Depozīta iepakotājam līgumsodu EUR </w:t>
            </w:r>
            <w:r w:rsidR="00980436" w:rsidRPr="007D4850">
              <w:rPr>
                <w:rFonts w:cs="Times New Roman"/>
                <w:sz w:val="20"/>
                <w:szCs w:val="20"/>
                <w:lang w:val="lv-LV"/>
              </w:rPr>
              <w:t>100 (viens simts eiro)</w:t>
            </w:r>
            <w:r w:rsidRPr="007D4850">
              <w:rPr>
                <w:rFonts w:cs="Times New Roman"/>
                <w:sz w:val="20"/>
                <w:szCs w:val="20"/>
                <w:lang w:val="lv-LV"/>
              </w:rPr>
              <w:t xml:space="preserve"> apmērā par katru kavēto dienu, kad atbilstošs pārskats nav iesni</w:t>
            </w:r>
            <w:r w:rsidR="00BA0E0C" w:rsidRPr="007D4850">
              <w:rPr>
                <w:rFonts w:cs="Times New Roman"/>
                <w:sz w:val="20"/>
                <w:szCs w:val="20"/>
                <w:lang w:val="lv-LV"/>
              </w:rPr>
              <w:t>e</w:t>
            </w:r>
            <w:r w:rsidRPr="007D4850">
              <w:rPr>
                <w:rFonts w:cs="Times New Roman"/>
                <w:sz w:val="20"/>
                <w:szCs w:val="20"/>
                <w:lang w:val="lv-LV"/>
              </w:rPr>
              <w:t>gts. Līgumsoda piemērošana neatbrīvo Depozīta iepakotāju no pienākuma iesniegt DIO atbilstošu pārskatu.</w:t>
            </w:r>
          </w:p>
        </w:tc>
      </w:tr>
      <w:tr w:rsidR="00F31605" w:rsidRPr="007D4850" w14:paraId="7E118498" w14:textId="77777777" w:rsidTr="00D52BE9">
        <w:trPr>
          <w:gridAfter w:val="1"/>
          <w:wAfter w:w="82" w:type="dxa"/>
        </w:trPr>
        <w:tc>
          <w:tcPr>
            <w:tcW w:w="9924" w:type="dxa"/>
            <w:gridSpan w:val="2"/>
          </w:tcPr>
          <w:p w14:paraId="63097D1C" w14:textId="41E73F1B" w:rsidR="00F31605" w:rsidRPr="00996381" w:rsidRDefault="003675AE" w:rsidP="00996381">
            <w:pPr>
              <w:pStyle w:val="ListParagraph"/>
              <w:numPr>
                <w:ilvl w:val="0"/>
                <w:numId w:val="11"/>
              </w:numPr>
              <w:spacing w:before="240" w:after="120"/>
              <w:ind w:left="604" w:hanging="568"/>
              <w:jc w:val="both"/>
              <w:rPr>
                <w:rFonts w:cs="Times New Roman"/>
                <w:sz w:val="20"/>
                <w:szCs w:val="20"/>
              </w:rPr>
            </w:pPr>
            <w:r w:rsidRPr="007D4850">
              <w:rPr>
                <w:rFonts w:cs="Times New Roman"/>
                <w:sz w:val="20"/>
                <w:szCs w:val="20"/>
              </w:rPr>
              <w:t>Ja Depozīta iepakotājs sistemātiski un būtiski pārkāpt šīs Vienošanās nosacījumu izpildi un</w:t>
            </w:r>
            <w:r w:rsidR="00CF2AD4" w:rsidRPr="007D4850">
              <w:rPr>
                <w:rFonts w:cs="Times New Roman"/>
                <w:sz w:val="20"/>
                <w:szCs w:val="20"/>
              </w:rPr>
              <w:t>,</w:t>
            </w:r>
            <w:r w:rsidRPr="007D4850">
              <w:rPr>
                <w:rFonts w:cs="Times New Roman"/>
                <w:sz w:val="20"/>
                <w:szCs w:val="20"/>
              </w:rPr>
              <w:t xml:space="preserve"> ja Depozīta iepakotājs nenovērš pārkāpumus 15 (piecpadsmit) dienu laikā pēc DIO rakstveida brīdinājum</w:t>
            </w:r>
            <w:r w:rsidR="00E86E05" w:rsidRPr="007D4850">
              <w:rPr>
                <w:rFonts w:cs="Times New Roman"/>
                <w:sz w:val="20"/>
                <w:szCs w:val="20"/>
              </w:rPr>
              <w:t>a saņemšanas</w:t>
            </w:r>
            <w:r w:rsidRPr="007D4850">
              <w:rPr>
                <w:rFonts w:cs="Times New Roman"/>
                <w:sz w:val="20"/>
                <w:szCs w:val="20"/>
              </w:rPr>
              <w:t xml:space="preserve">, </w:t>
            </w:r>
            <w:r w:rsidRPr="007D4850">
              <w:rPr>
                <w:rFonts w:cs="Times New Roman"/>
                <w:sz w:val="20"/>
                <w:szCs w:val="20"/>
                <w:lang w:val="lv-LV"/>
              </w:rPr>
              <w:t xml:space="preserve">DIO ir tiesības </w:t>
            </w:r>
            <w:r w:rsidRPr="007D4850">
              <w:rPr>
                <w:rFonts w:cs="Times New Roman"/>
                <w:sz w:val="20"/>
                <w:szCs w:val="20"/>
              </w:rPr>
              <w:t>izņemt Depozīta iepakotāja Universālā AU iepakoju</w:t>
            </w:r>
            <w:r w:rsidR="00E86E05" w:rsidRPr="007D4850">
              <w:rPr>
                <w:rFonts w:cs="Times New Roman"/>
                <w:sz w:val="20"/>
                <w:szCs w:val="20"/>
              </w:rPr>
              <w:t>ma</w:t>
            </w:r>
            <w:r w:rsidRPr="007D4850">
              <w:rPr>
                <w:rFonts w:cs="Times New Roman"/>
                <w:sz w:val="20"/>
                <w:szCs w:val="20"/>
              </w:rPr>
              <w:t xml:space="preserve"> ierakstus no </w:t>
            </w:r>
            <w:r w:rsidR="00122599" w:rsidRPr="007D4850">
              <w:rPr>
                <w:rFonts w:cs="Times New Roman"/>
                <w:sz w:val="20"/>
                <w:szCs w:val="20"/>
              </w:rPr>
              <w:t xml:space="preserve">aktīvā </w:t>
            </w:r>
            <w:r w:rsidRPr="007D4850">
              <w:rPr>
                <w:rFonts w:cs="Times New Roman"/>
                <w:sz w:val="20"/>
                <w:szCs w:val="20"/>
              </w:rPr>
              <w:t xml:space="preserve">Reģistra un/vai </w:t>
            </w:r>
            <w:r w:rsidRPr="007D4850">
              <w:rPr>
                <w:rFonts w:cs="Times New Roman"/>
                <w:sz w:val="20"/>
                <w:szCs w:val="20"/>
                <w:lang w:val="lv-LV"/>
              </w:rPr>
              <w:t xml:space="preserve">vienpusēji izbeigt šo Vienošanos. </w:t>
            </w:r>
            <w:r w:rsidR="00234085" w:rsidRPr="007D4850">
              <w:rPr>
                <w:rFonts w:cs="Times New Roman"/>
                <w:sz w:val="20"/>
                <w:szCs w:val="20"/>
                <w:lang w:val="lv-LV"/>
              </w:rPr>
              <w:t>Lai nodrošinātu savlaicīgu informācijas sniegšanu Pieņemšanas viet</w:t>
            </w:r>
            <w:r w:rsidR="00E86E05" w:rsidRPr="007D4850">
              <w:rPr>
                <w:rFonts w:cs="Times New Roman"/>
                <w:sz w:val="20"/>
                <w:szCs w:val="20"/>
                <w:lang w:val="lv-LV"/>
              </w:rPr>
              <w:t>ām,</w:t>
            </w:r>
            <w:r w:rsidR="00234085" w:rsidRPr="007D4850">
              <w:rPr>
                <w:rFonts w:cs="Times New Roman"/>
                <w:sz w:val="20"/>
                <w:szCs w:val="20"/>
                <w:lang w:val="lv-LV"/>
              </w:rPr>
              <w:t xml:space="preserve"> DIO ir tiesības informēt Pieņemšanas vietu valdītājus par Depozīta iepakotājam izteikto brīdinājumu. </w:t>
            </w:r>
            <w:r w:rsidRPr="007D4850">
              <w:rPr>
                <w:rFonts w:cs="Times New Roman"/>
                <w:sz w:val="20"/>
                <w:szCs w:val="20"/>
                <w:lang w:val="lv-LV"/>
              </w:rPr>
              <w:t xml:space="preserve">Puses vienojas, ka turpmāk norādītajos gadījumos, bez ierobežojumiem, uzskatāms, ka Depozīta iepakotājs ir pieļāvis būtisku Līguma pārkāpumu: </w:t>
            </w:r>
          </w:p>
        </w:tc>
      </w:tr>
      <w:tr w:rsidR="00996381" w:rsidRPr="007D4850" w14:paraId="5A773B44" w14:textId="77777777" w:rsidTr="00D52BE9">
        <w:trPr>
          <w:gridAfter w:val="1"/>
          <w:wAfter w:w="82" w:type="dxa"/>
        </w:trPr>
        <w:tc>
          <w:tcPr>
            <w:tcW w:w="9924" w:type="dxa"/>
            <w:gridSpan w:val="2"/>
          </w:tcPr>
          <w:p w14:paraId="6DCFDDA7" w14:textId="11F81F60" w:rsidR="00996381" w:rsidRPr="00996381" w:rsidRDefault="00996381" w:rsidP="00996381">
            <w:pPr>
              <w:pStyle w:val="ListParagraph"/>
              <w:numPr>
                <w:ilvl w:val="1"/>
                <w:numId w:val="11"/>
              </w:numPr>
              <w:spacing w:after="120"/>
              <w:ind w:left="1083" w:hanging="476"/>
              <w:jc w:val="both"/>
              <w:rPr>
                <w:rFonts w:cs="Times New Roman"/>
                <w:sz w:val="20"/>
                <w:szCs w:val="20"/>
              </w:rPr>
            </w:pPr>
            <w:r w:rsidRPr="007D4850">
              <w:rPr>
                <w:rFonts w:cs="Times New Roman"/>
                <w:sz w:val="20"/>
                <w:szCs w:val="20"/>
                <w:lang w:val="lv-LV"/>
              </w:rPr>
              <w:t>Depozīta iepakotājs nepilda jebkuras finansiālās saistības, kas izriet no šīs Vienošanās, Vienošanās noteiktajā kārtībā un termiņos,</w:t>
            </w:r>
          </w:p>
        </w:tc>
      </w:tr>
      <w:tr w:rsidR="00996381" w:rsidRPr="007D4850" w14:paraId="4541AEAC" w14:textId="77777777" w:rsidTr="00D52BE9">
        <w:trPr>
          <w:gridAfter w:val="1"/>
          <w:wAfter w:w="82" w:type="dxa"/>
        </w:trPr>
        <w:tc>
          <w:tcPr>
            <w:tcW w:w="9924" w:type="dxa"/>
            <w:gridSpan w:val="2"/>
          </w:tcPr>
          <w:p w14:paraId="68CE167D" w14:textId="6078466A" w:rsidR="00996381" w:rsidRPr="00996381" w:rsidRDefault="00996381" w:rsidP="00996381">
            <w:pPr>
              <w:pStyle w:val="ListParagraph"/>
              <w:numPr>
                <w:ilvl w:val="1"/>
                <w:numId w:val="11"/>
              </w:numPr>
              <w:spacing w:after="120"/>
              <w:ind w:left="1083" w:hanging="476"/>
              <w:jc w:val="both"/>
              <w:rPr>
                <w:rFonts w:cs="Times New Roman"/>
                <w:sz w:val="20"/>
                <w:szCs w:val="20"/>
              </w:rPr>
            </w:pPr>
            <w:r w:rsidRPr="007D4850">
              <w:rPr>
                <w:rFonts w:cs="Times New Roman"/>
                <w:sz w:val="20"/>
                <w:szCs w:val="20"/>
              </w:rPr>
              <w:t>Depozīta iepakotājs 5 (piecas) reizes nav veicis Universālā AU iepakojuma paņemšanu no DIO Šķirošanas centra saskaņā ar Vienošanās 6.3 punktu;</w:t>
            </w:r>
          </w:p>
        </w:tc>
      </w:tr>
      <w:tr w:rsidR="00996381" w:rsidRPr="007D4850" w14:paraId="33DB680D" w14:textId="77777777" w:rsidTr="00D52BE9">
        <w:trPr>
          <w:gridAfter w:val="1"/>
          <w:wAfter w:w="82" w:type="dxa"/>
        </w:trPr>
        <w:tc>
          <w:tcPr>
            <w:tcW w:w="9924" w:type="dxa"/>
            <w:gridSpan w:val="2"/>
          </w:tcPr>
          <w:p w14:paraId="0140F3F3" w14:textId="6839FA80" w:rsidR="00996381" w:rsidRPr="00996381" w:rsidRDefault="00996381" w:rsidP="00996381">
            <w:pPr>
              <w:pStyle w:val="ListParagraph"/>
              <w:numPr>
                <w:ilvl w:val="1"/>
                <w:numId w:val="11"/>
              </w:numPr>
              <w:spacing w:after="120"/>
              <w:ind w:left="1083" w:hanging="476"/>
              <w:jc w:val="both"/>
              <w:rPr>
                <w:rFonts w:cs="Times New Roman"/>
                <w:sz w:val="20"/>
                <w:szCs w:val="20"/>
                <w:lang w:val="lv-LV"/>
              </w:rPr>
            </w:pPr>
            <w:r w:rsidRPr="007D4850">
              <w:rPr>
                <w:rFonts w:cs="Times New Roman"/>
                <w:sz w:val="20"/>
                <w:szCs w:val="20"/>
              </w:rPr>
              <w:lastRenderedPageBreak/>
              <w:t xml:space="preserve">Depozīta iepakotājs neveic Universālā AU iepakojuma atkārtotu uzpildīšanu </w:t>
            </w:r>
            <w:r w:rsidRPr="007D4850">
              <w:rPr>
                <w:sz w:val="20"/>
                <w:szCs w:val="20"/>
              </w:rPr>
              <w:t>normatīvajos aktos noteiktajā minimālajā nepieciešamajā apmērā</w:t>
            </w:r>
            <w:r w:rsidRPr="007D4850">
              <w:rPr>
                <w:rFonts w:cs="Times New Roman"/>
                <w:sz w:val="20"/>
                <w:szCs w:val="20"/>
              </w:rPr>
              <w:t>;</w:t>
            </w:r>
          </w:p>
        </w:tc>
      </w:tr>
      <w:tr w:rsidR="00996381" w:rsidRPr="007D4850" w14:paraId="5CC8FD15" w14:textId="77777777" w:rsidTr="00D52BE9">
        <w:trPr>
          <w:gridAfter w:val="1"/>
          <w:wAfter w:w="82" w:type="dxa"/>
        </w:trPr>
        <w:tc>
          <w:tcPr>
            <w:tcW w:w="9924" w:type="dxa"/>
            <w:gridSpan w:val="2"/>
          </w:tcPr>
          <w:p w14:paraId="639EC3C3" w14:textId="25A20864" w:rsidR="00996381" w:rsidRPr="007D4850" w:rsidRDefault="00996381" w:rsidP="00996381">
            <w:pPr>
              <w:pStyle w:val="ListParagraph"/>
              <w:numPr>
                <w:ilvl w:val="1"/>
                <w:numId w:val="11"/>
              </w:numPr>
              <w:spacing w:after="120"/>
              <w:ind w:left="1083" w:hanging="476"/>
              <w:jc w:val="both"/>
              <w:rPr>
                <w:rFonts w:cs="Times New Roman"/>
                <w:sz w:val="20"/>
                <w:szCs w:val="20"/>
              </w:rPr>
            </w:pPr>
            <w:r w:rsidRPr="007D4850">
              <w:rPr>
                <w:sz w:val="20"/>
                <w:szCs w:val="20"/>
                <w:lang w:val="lv-LV"/>
              </w:rPr>
              <w:t>Depozīta iepakotājs atkārtoti savlaicīgi nesniedz šīs Vienošanās 6.6. punktā minēto informāciju un/vai Depozīta iepakotāja sniegtā informācija nav patiesa.</w:t>
            </w:r>
          </w:p>
        </w:tc>
      </w:tr>
      <w:tr w:rsidR="00996381" w:rsidRPr="007D4850" w14:paraId="662AED40" w14:textId="77777777" w:rsidTr="00D52BE9">
        <w:trPr>
          <w:gridAfter w:val="1"/>
          <w:wAfter w:w="82" w:type="dxa"/>
        </w:trPr>
        <w:tc>
          <w:tcPr>
            <w:tcW w:w="9924" w:type="dxa"/>
            <w:gridSpan w:val="2"/>
          </w:tcPr>
          <w:p w14:paraId="69290829" w14:textId="17DCA0B8" w:rsidR="00996381" w:rsidRPr="007D4850" w:rsidRDefault="00996381" w:rsidP="00996381">
            <w:pPr>
              <w:pStyle w:val="ListParagraph"/>
              <w:numPr>
                <w:ilvl w:val="0"/>
                <w:numId w:val="11"/>
              </w:numPr>
              <w:spacing w:before="120" w:after="120"/>
              <w:ind w:left="604" w:hanging="568"/>
              <w:contextualSpacing w:val="0"/>
              <w:jc w:val="both"/>
              <w:rPr>
                <w:rFonts w:cs="Times New Roman"/>
                <w:sz w:val="20"/>
                <w:szCs w:val="20"/>
                <w:lang w:val="lv-LV"/>
              </w:rPr>
            </w:pPr>
            <w:r w:rsidRPr="007D4850">
              <w:rPr>
                <w:sz w:val="20"/>
                <w:szCs w:val="20"/>
                <w:lang w:val="lv-LV"/>
              </w:rPr>
              <w:t>Vienošanās izbeigšana neatbrīvo Depozīta iepakotāju no pienākuma izpildīt saistības, kuras tas uzņēmies, noslēdzot šo Vienošanos. Depozīta iepakotājs ir atbildīgs par visiem DIO radītajiem tiešajiem zaudējumiem, kas radušies Depozīta iepakotāja saistību neizpildes un/vai šīs Vienošanās izbeigšanas gadījumā</w:t>
            </w:r>
            <w:r w:rsidRPr="007D4850">
              <w:rPr>
                <w:rFonts w:cs="Times New Roman"/>
                <w:sz w:val="20"/>
                <w:szCs w:val="20"/>
                <w:lang w:val="lv-LV"/>
              </w:rPr>
              <w:t>.</w:t>
            </w:r>
          </w:p>
        </w:tc>
      </w:tr>
      <w:tr w:rsidR="00BA0E0C" w:rsidRPr="007D4850" w14:paraId="31140A99" w14:textId="77777777" w:rsidTr="00D52BE9">
        <w:trPr>
          <w:gridAfter w:val="1"/>
          <w:wAfter w:w="82" w:type="dxa"/>
        </w:trPr>
        <w:tc>
          <w:tcPr>
            <w:tcW w:w="9924" w:type="dxa"/>
            <w:gridSpan w:val="2"/>
          </w:tcPr>
          <w:p w14:paraId="01FBB9D0" w14:textId="2BFFF311" w:rsidR="00497131" w:rsidRPr="00996381" w:rsidRDefault="00BA0E0C" w:rsidP="00996381">
            <w:pPr>
              <w:pStyle w:val="ListParagraph"/>
              <w:numPr>
                <w:ilvl w:val="0"/>
                <w:numId w:val="11"/>
              </w:numPr>
              <w:spacing w:before="120" w:after="120"/>
              <w:ind w:left="604" w:hanging="568"/>
              <w:contextualSpacing w:val="0"/>
              <w:jc w:val="both"/>
              <w:rPr>
                <w:rFonts w:cs="Times New Roman"/>
                <w:sz w:val="20"/>
                <w:szCs w:val="20"/>
                <w:lang w:val="lv-LV"/>
              </w:rPr>
            </w:pPr>
            <w:r w:rsidRPr="007D4850">
              <w:rPr>
                <w:rFonts w:cs="Times New Roman"/>
                <w:sz w:val="20"/>
                <w:szCs w:val="20"/>
                <w:lang w:val="lv-LV"/>
              </w:rPr>
              <w:t>Vienošanās ir piemērojami Līguma noteikumi, ciktāl tie nav pretrunā ar šajā Vienošanās paredzēto.</w:t>
            </w:r>
          </w:p>
        </w:tc>
      </w:tr>
      <w:tr w:rsidR="00996381" w:rsidRPr="007D4850" w14:paraId="7E5B2131" w14:textId="77777777" w:rsidTr="00D52BE9">
        <w:trPr>
          <w:gridAfter w:val="1"/>
          <w:wAfter w:w="82" w:type="dxa"/>
        </w:trPr>
        <w:tc>
          <w:tcPr>
            <w:tcW w:w="9924" w:type="dxa"/>
            <w:gridSpan w:val="2"/>
          </w:tcPr>
          <w:p w14:paraId="067CD745" w14:textId="09155EAC" w:rsidR="00996381" w:rsidRPr="007D4850" w:rsidRDefault="00996381" w:rsidP="00996381">
            <w:pPr>
              <w:pStyle w:val="ListParagraph"/>
              <w:numPr>
                <w:ilvl w:val="0"/>
                <w:numId w:val="11"/>
              </w:numPr>
              <w:spacing w:before="120" w:after="120"/>
              <w:ind w:left="604" w:hanging="568"/>
              <w:contextualSpacing w:val="0"/>
              <w:jc w:val="both"/>
              <w:rPr>
                <w:rFonts w:cs="Times New Roman"/>
                <w:sz w:val="20"/>
                <w:szCs w:val="20"/>
                <w:lang w:val="lv-LV"/>
              </w:rPr>
            </w:pPr>
            <w:r w:rsidRPr="007D4850">
              <w:rPr>
                <w:rFonts w:cs="Times New Roman"/>
                <w:sz w:val="20"/>
                <w:szCs w:val="20"/>
                <w:lang w:val="lv-LV"/>
              </w:rPr>
              <w:t>Līguma 15.-19. punktā noteiktie nosacījumi tāpat ir piemērojami Vienošanās, ciktāl tie nepaplašina DIO pienākumus, kas noteikti šajā Vienošanās. Ar lielajiem sākumburtiem lietotajiem terminiem Vienošanās ir tādai pati nozīme, un tie ir interpretējami  atbilstoši Līgumā sniegtajai definīcijai, ja vien konteksts skaidri nenosaka citādi un/vai vien Vienošanās nav noteikts citādi.</w:t>
            </w:r>
          </w:p>
        </w:tc>
      </w:tr>
      <w:tr w:rsidR="005E4B42" w:rsidRPr="007D4850" w14:paraId="5693890A" w14:textId="77777777" w:rsidTr="00D52BE9">
        <w:trPr>
          <w:gridAfter w:val="1"/>
          <w:wAfter w:w="82" w:type="dxa"/>
        </w:trPr>
        <w:tc>
          <w:tcPr>
            <w:tcW w:w="9924" w:type="dxa"/>
            <w:gridSpan w:val="2"/>
          </w:tcPr>
          <w:p w14:paraId="11C891F1" w14:textId="187D975C" w:rsidR="005E4B42" w:rsidRPr="007D4850" w:rsidRDefault="00BA0E0C" w:rsidP="00996381">
            <w:pPr>
              <w:pStyle w:val="ListParagraph"/>
              <w:numPr>
                <w:ilvl w:val="0"/>
                <w:numId w:val="11"/>
              </w:numPr>
              <w:spacing w:before="120" w:after="120"/>
              <w:ind w:left="604" w:hanging="568"/>
              <w:contextualSpacing w:val="0"/>
              <w:jc w:val="both"/>
              <w:rPr>
                <w:rFonts w:cs="Times New Roman"/>
                <w:sz w:val="20"/>
                <w:szCs w:val="20"/>
                <w:lang w:val="lv-LV"/>
              </w:rPr>
            </w:pPr>
            <w:r w:rsidRPr="007D4850">
              <w:rPr>
                <w:rFonts w:cs="Times New Roman"/>
                <w:sz w:val="20"/>
                <w:szCs w:val="20"/>
                <w:lang w:val="lv-LV"/>
              </w:rPr>
              <w:t>Vienošanās</w:t>
            </w:r>
            <w:r w:rsidR="005E4B42" w:rsidRPr="007D4850">
              <w:rPr>
                <w:rFonts w:cs="Times New Roman"/>
                <w:sz w:val="20"/>
                <w:szCs w:val="20"/>
                <w:lang w:val="lv-LV"/>
              </w:rPr>
              <w:t xml:space="preserve"> stājas spēkā pēc tam, kad to ir parakstījušas abas Puses, un paliek pilnībā spēkā un izpildām</w:t>
            </w:r>
            <w:r w:rsidRPr="007D4850">
              <w:rPr>
                <w:rFonts w:cs="Times New Roman"/>
                <w:sz w:val="20"/>
                <w:szCs w:val="20"/>
                <w:lang w:val="lv-LV"/>
              </w:rPr>
              <w:t>a</w:t>
            </w:r>
            <w:r w:rsidR="005E4B42" w:rsidRPr="007D4850">
              <w:rPr>
                <w:rFonts w:cs="Times New Roman"/>
                <w:sz w:val="20"/>
                <w:szCs w:val="20"/>
                <w:lang w:val="lv-LV"/>
              </w:rPr>
              <w:t xml:space="preserve"> uz nenoteiktu laiku. Puses vienojas, ka Vienošanās izbeigšana vai izbeigšanās nevar būt iemesls Līguma izbeigšanai un/vai tā uzskatīšanai par spēkā neesošu.</w:t>
            </w:r>
          </w:p>
        </w:tc>
      </w:tr>
      <w:tr w:rsidR="00BA0E0C" w:rsidRPr="007D4850" w14:paraId="21F123A6" w14:textId="77777777" w:rsidTr="00D52BE9">
        <w:tc>
          <w:tcPr>
            <w:tcW w:w="5432" w:type="dxa"/>
          </w:tcPr>
          <w:p w14:paraId="77A449BB" w14:textId="77777777" w:rsidR="006C19E5" w:rsidRPr="007D4850" w:rsidRDefault="006C19E5" w:rsidP="001D665D">
            <w:pPr>
              <w:spacing w:before="120" w:after="120"/>
              <w:rPr>
                <w:rFonts w:cs="Times New Roman"/>
                <w:sz w:val="20"/>
                <w:szCs w:val="20"/>
                <w:lang w:val="lv-LV"/>
              </w:rPr>
            </w:pPr>
          </w:p>
          <w:p w14:paraId="3507ED2A" w14:textId="77777777" w:rsidR="00226FB1" w:rsidRPr="005E0BED" w:rsidRDefault="00226FB1" w:rsidP="00226FB1">
            <w:pPr>
              <w:ind w:left="459"/>
              <w:jc w:val="both"/>
              <w:rPr>
                <w:rFonts w:eastAsia="Calibri" w:cs="Times New Roman"/>
                <w:b/>
                <w:bCs/>
                <w:sz w:val="20"/>
                <w:szCs w:val="20"/>
                <w:lang w:val="lv-LV" w:eastAsia="lv-LV"/>
              </w:rPr>
            </w:pPr>
            <w:r w:rsidRPr="005E0BED">
              <w:rPr>
                <w:rFonts w:eastAsia="Calibri" w:cs="Times New Roman"/>
                <w:b/>
                <w:bCs/>
                <w:sz w:val="20"/>
                <w:szCs w:val="20"/>
                <w:lang w:val="lv-LV" w:eastAsia="lv-LV"/>
              </w:rPr>
              <w:t>Depozīta Iepakojuma Operators, SIA</w:t>
            </w:r>
          </w:p>
          <w:p w14:paraId="0C223290" w14:textId="77777777" w:rsidR="00226FB1" w:rsidRPr="005E0BED" w:rsidRDefault="00226FB1" w:rsidP="00226FB1">
            <w:pPr>
              <w:ind w:left="459"/>
              <w:jc w:val="both"/>
              <w:rPr>
                <w:rFonts w:eastAsia="Calibri" w:cs="Times New Roman"/>
                <w:sz w:val="20"/>
                <w:szCs w:val="20"/>
                <w:lang w:val="lv-LV" w:eastAsia="lv-LV"/>
              </w:rPr>
            </w:pPr>
            <w:r w:rsidRPr="005E0BED">
              <w:rPr>
                <w:rFonts w:eastAsia="Calibri" w:cs="Times New Roman"/>
                <w:sz w:val="20"/>
                <w:szCs w:val="20"/>
                <w:lang w:val="lv-LV" w:eastAsia="lv-LV"/>
              </w:rPr>
              <w:t>Reģistrācijas numurs: 44103146177</w:t>
            </w:r>
          </w:p>
          <w:p w14:paraId="16FA6AAC" w14:textId="77777777" w:rsidR="00226FB1" w:rsidRPr="005E0BED" w:rsidRDefault="00226FB1" w:rsidP="00226FB1">
            <w:pPr>
              <w:ind w:left="459"/>
              <w:jc w:val="both"/>
              <w:rPr>
                <w:rFonts w:eastAsia="Calibri" w:cs="Times New Roman"/>
                <w:sz w:val="20"/>
                <w:szCs w:val="20"/>
                <w:lang w:val="lv-LV" w:eastAsia="lv-LV"/>
              </w:rPr>
            </w:pPr>
            <w:r w:rsidRPr="005E0BED">
              <w:rPr>
                <w:rFonts w:eastAsia="Calibri" w:cs="Times New Roman"/>
                <w:sz w:val="20"/>
                <w:szCs w:val="20"/>
                <w:lang w:val="lv-LV" w:eastAsia="lv-LV"/>
              </w:rPr>
              <w:t>PVN reģistrācijas numurs: LV44103146177</w:t>
            </w:r>
          </w:p>
          <w:p w14:paraId="1FDB1058" w14:textId="77777777" w:rsidR="00226FB1" w:rsidRPr="005E0BED" w:rsidRDefault="00226FB1" w:rsidP="00226FB1">
            <w:pPr>
              <w:ind w:left="459"/>
              <w:jc w:val="both"/>
              <w:rPr>
                <w:rFonts w:eastAsia="Calibri" w:cs="Times New Roman"/>
                <w:sz w:val="20"/>
                <w:szCs w:val="20"/>
                <w:lang w:val="lv-LV" w:eastAsia="lv-LV"/>
              </w:rPr>
            </w:pPr>
            <w:r w:rsidRPr="005E0BED">
              <w:rPr>
                <w:rFonts w:eastAsia="Calibri" w:cs="Times New Roman"/>
                <w:sz w:val="20"/>
                <w:szCs w:val="20"/>
                <w:lang w:val="lv-LV" w:eastAsia="lv-LV"/>
              </w:rPr>
              <w:t>Juridiskā un biroja adrese: Augusta Deglava iela 66, Rīga, LV-1035, Latvija</w:t>
            </w:r>
          </w:p>
          <w:p w14:paraId="320EBADD" w14:textId="77777777" w:rsidR="00226FB1" w:rsidRPr="005E0BED" w:rsidRDefault="00226FB1" w:rsidP="00226FB1">
            <w:pPr>
              <w:ind w:left="459"/>
              <w:jc w:val="both"/>
              <w:rPr>
                <w:rFonts w:eastAsia="Calibri" w:cs="Times New Roman"/>
                <w:sz w:val="20"/>
                <w:szCs w:val="20"/>
                <w:lang w:val="lv-LV"/>
              </w:rPr>
            </w:pPr>
            <w:r w:rsidRPr="005E0BED">
              <w:rPr>
                <w:rFonts w:eastAsia="Calibri" w:cs="Times New Roman"/>
                <w:sz w:val="20"/>
                <w:szCs w:val="20"/>
                <w:lang w:val="lv-LV" w:eastAsia="lv-LV"/>
              </w:rPr>
              <w:t>Banka: SEB banka, AS</w:t>
            </w:r>
          </w:p>
          <w:p w14:paraId="7A238148" w14:textId="77777777" w:rsidR="00226FB1" w:rsidRPr="005E0BED" w:rsidRDefault="00226FB1" w:rsidP="00226FB1">
            <w:pPr>
              <w:ind w:left="459"/>
              <w:jc w:val="both"/>
              <w:rPr>
                <w:rFonts w:eastAsia="Calibri" w:cs="Times New Roman"/>
                <w:sz w:val="20"/>
                <w:szCs w:val="20"/>
                <w:lang w:val="lv-LV"/>
              </w:rPr>
            </w:pPr>
            <w:r w:rsidRPr="005E0BED">
              <w:rPr>
                <w:rFonts w:eastAsia="Calibri" w:cs="Times New Roman"/>
                <w:sz w:val="20"/>
                <w:szCs w:val="20"/>
                <w:lang w:val="lv-LV" w:eastAsia="lv-LV"/>
              </w:rPr>
              <w:t>Bankas kods: UNLALV2X</w:t>
            </w:r>
          </w:p>
          <w:p w14:paraId="3F238E8F" w14:textId="77777777" w:rsidR="00226FB1" w:rsidRPr="005E0BED" w:rsidRDefault="00226FB1" w:rsidP="00226FB1">
            <w:pPr>
              <w:ind w:left="459"/>
              <w:jc w:val="both"/>
              <w:rPr>
                <w:rFonts w:eastAsia="Calibri" w:cs="Times New Roman"/>
                <w:sz w:val="20"/>
                <w:szCs w:val="20"/>
                <w:lang w:val="lv-LV" w:eastAsia="lv-LV"/>
              </w:rPr>
            </w:pPr>
            <w:r w:rsidRPr="005E0BED">
              <w:rPr>
                <w:rFonts w:eastAsia="Calibri" w:cs="Times New Roman"/>
                <w:sz w:val="20"/>
                <w:szCs w:val="20"/>
                <w:lang w:val="lv-LV" w:eastAsia="lv-LV"/>
              </w:rPr>
              <w:t>Konta numurs: LV95UNLA0055001733525</w:t>
            </w:r>
          </w:p>
          <w:p w14:paraId="1C959DC2" w14:textId="77777777" w:rsidR="007B06BF" w:rsidRDefault="00226FB1" w:rsidP="007B06BF">
            <w:pPr>
              <w:ind w:left="459"/>
              <w:jc w:val="both"/>
              <w:rPr>
                <w:rFonts w:eastAsia="Calibri" w:cs="Times New Roman"/>
                <w:sz w:val="20"/>
                <w:szCs w:val="20"/>
                <w:lang w:val="lv-LV"/>
              </w:rPr>
            </w:pPr>
            <w:r w:rsidRPr="005E0BED">
              <w:rPr>
                <w:rFonts w:eastAsia="Calibri" w:cs="Times New Roman"/>
                <w:sz w:val="20"/>
                <w:szCs w:val="20"/>
                <w:lang w:val="lv-LV"/>
              </w:rPr>
              <w:t>Tālrunis: +371 25613000</w:t>
            </w:r>
          </w:p>
          <w:p w14:paraId="0A8E3638" w14:textId="1E5E23F1" w:rsidR="00BA0E0C" w:rsidRPr="007D4850" w:rsidRDefault="00226FB1" w:rsidP="007B06BF">
            <w:pPr>
              <w:ind w:left="459"/>
              <w:jc w:val="both"/>
              <w:rPr>
                <w:rFonts w:cs="Times New Roman"/>
                <w:b/>
                <w:sz w:val="20"/>
                <w:szCs w:val="20"/>
                <w:lang w:val="lv-LV"/>
              </w:rPr>
            </w:pPr>
            <w:r w:rsidRPr="005E0BED">
              <w:rPr>
                <w:rFonts w:eastAsia="Calibri" w:cs="Times New Roman"/>
                <w:sz w:val="20"/>
                <w:szCs w:val="20"/>
                <w:lang w:val="lv-LV" w:eastAsia="lv-LV"/>
              </w:rPr>
              <w:t xml:space="preserve">E-pasts: </w:t>
            </w:r>
            <w:hyperlink r:id="rId12" w:history="1">
              <w:r w:rsidRPr="005E0BED">
                <w:rPr>
                  <w:rStyle w:val="Hyperlink"/>
                  <w:rFonts w:cs="Times New Roman"/>
                  <w:sz w:val="20"/>
                  <w:szCs w:val="20"/>
                  <w:lang w:val="lv-LV"/>
                </w:rPr>
                <w:t>dio@dio.lv</w:t>
              </w:r>
            </w:hyperlink>
            <w:r w:rsidRPr="005E0BED">
              <w:rPr>
                <w:rFonts w:cs="Times New Roman"/>
                <w:sz w:val="20"/>
                <w:szCs w:val="20"/>
                <w:lang w:val="lv-LV"/>
              </w:rPr>
              <w:t xml:space="preserve"> </w:t>
            </w:r>
          </w:p>
          <w:p w14:paraId="0CC2ACD5" w14:textId="77777777" w:rsidR="00BA0E0C" w:rsidRPr="007D4850" w:rsidRDefault="00BA0E0C" w:rsidP="001D665D">
            <w:pPr>
              <w:spacing w:before="120" w:after="120"/>
              <w:rPr>
                <w:rFonts w:cs="Times New Roman"/>
                <w:b/>
                <w:sz w:val="20"/>
                <w:szCs w:val="20"/>
                <w:lang w:val="lv-LV"/>
              </w:rPr>
            </w:pPr>
          </w:p>
          <w:p w14:paraId="236D1A7B" w14:textId="77777777" w:rsidR="00BA0E0C" w:rsidRPr="007D4850" w:rsidRDefault="00BA0E0C" w:rsidP="001D665D">
            <w:pPr>
              <w:spacing w:before="120" w:after="120"/>
              <w:rPr>
                <w:rFonts w:cs="Times New Roman"/>
                <w:b/>
                <w:sz w:val="20"/>
                <w:szCs w:val="20"/>
                <w:lang w:val="lv-LV"/>
              </w:rPr>
            </w:pPr>
          </w:p>
        </w:tc>
        <w:tc>
          <w:tcPr>
            <w:tcW w:w="4574" w:type="dxa"/>
            <w:gridSpan w:val="2"/>
          </w:tcPr>
          <w:p w14:paraId="3F35C141" w14:textId="77777777" w:rsidR="006C19E5" w:rsidRPr="007D4850" w:rsidRDefault="006C19E5" w:rsidP="001D665D">
            <w:pPr>
              <w:spacing w:before="120" w:after="120"/>
              <w:jc w:val="both"/>
              <w:rPr>
                <w:rFonts w:cs="Times New Roman"/>
                <w:b/>
                <w:bCs/>
                <w:iCs/>
                <w:sz w:val="20"/>
                <w:szCs w:val="20"/>
                <w:lang w:val="lv-LV"/>
              </w:rPr>
            </w:pPr>
          </w:p>
          <w:sdt>
            <w:sdtPr>
              <w:rPr>
                <w:rFonts w:eastAsia="Calibri" w:cstheme="minorHAnsi"/>
                <w:b/>
                <w:bCs/>
                <w:sz w:val="20"/>
                <w:szCs w:val="20"/>
                <w:lang w:eastAsia="lv-LV"/>
              </w:rPr>
              <w:id w:val="1483265171"/>
              <w:placeholder>
                <w:docPart w:val="9266578D505B45439BFF9EADB4FDE381"/>
              </w:placeholder>
            </w:sdtPr>
            <w:sdtEndPr>
              <w:rPr>
                <w:b w:val="0"/>
                <w:bCs w:val="0"/>
              </w:rPr>
            </w:sdtEndPr>
            <w:sdtContent>
              <w:sdt>
                <w:sdtPr>
                  <w:rPr>
                    <w:rFonts w:eastAsia="Calibri" w:cstheme="minorHAnsi"/>
                    <w:b/>
                    <w:bCs/>
                    <w:szCs w:val="20"/>
                    <w:lang w:eastAsia="lv-LV"/>
                  </w:rPr>
                  <w:id w:val="149330332"/>
                  <w:placeholder>
                    <w:docPart w:val="4EC2D119E94D4765A6942E5E178D045D"/>
                  </w:placeholder>
                </w:sdtPr>
                <w:sdtEndPr>
                  <w:rPr>
                    <w:b w:val="0"/>
                    <w:bCs w:val="0"/>
                  </w:rPr>
                </w:sdtEndPr>
                <w:sdtContent>
                  <w:p w14:paraId="2233F486" w14:textId="77777777" w:rsidR="007B06BF" w:rsidRPr="007B06BF" w:rsidRDefault="007B06BF" w:rsidP="007B06BF">
                    <w:pPr>
                      <w:jc w:val="both"/>
                      <w:rPr>
                        <w:rFonts w:eastAsia="Calibri" w:cstheme="minorHAnsi"/>
                        <w:b/>
                        <w:bCs/>
                        <w:sz w:val="20"/>
                        <w:szCs w:val="18"/>
                        <w:lang w:eastAsia="lv-LV"/>
                      </w:rPr>
                    </w:pPr>
                    <w:r w:rsidRPr="007B06BF">
                      <w:rPr>
                        <w:rFonts w:eastAsia="Calibri" w:cstheme="minorHAnsi"/>
                        <w:b/>
                        <w:bCs/>
                        <w:sz w:val="20"/>
                        <w:szCs w:val="18"/>
                        <w:lang w:eastAsia="lv-LV"/>
                      </w:rPr>
                      <w:t>Nosaukums</w:t>
                    </w:r>
                  </w:p>
                  <w:p w14:paraId="3E388089" w14:textId="77777777" w:rsidR="007B06BF" w:rsidRPr="007B06BF" w:rsidRDefault="007B06BF" w:rsidP="007B06BF">
                    <w:pPr>
                      <w:rPr>
                        <w:rFonts w:eastAsia="Calibri" w:cstheme="minorHAnsi"/>
                        <w:sz w:val="20"/>
                        <w:szCs w:val="18"/>
                        <w:lang w:eastAsia="lv-LV"/>
                      </w:rPr>
                    </w:pPr>
                    <w:r w:rsidRPr="007B06BF">
                      <w:rPr>
                        <w:rFonts w:eastAsia="Calibri" w:cstheme="minorHAnsi"/>
                        <w:sz w:val="20"/>
                        <w:szCs w:val="18"/>
                        <w:lang w:eastAsia="lv-LV"/>
                      </w:rPr>
                      <w:t xml:space="preserve">Reģistrācijas numurs: </w:t>
                    </w:r>
                    <w:r w:rsidRPr="007B06BF">
                      <w:rPr>
                        <w:sz w:val="20"/>
                        <w:szCs w:val="20"/>
                      </w:rPr>
                      <w:t xml:space="preserve"> </w:t>
                    </w:r>
                  </w:p>
                  <w:p w14:paraId="18A7E907" w14:textId="77777777" w:rsidR="007B06BF" w:rsidRPr="007B06BF" w:rsidRDefault="007B06BF" w:rsidP="007B06BF">
                    <w:pPr>
                      <w:rPr>
                        <w:rFonts w:eastAsia="Calibri" w:cstheme="minorHAnsi"/>
                        <w:sz w:val="20"/>
                        <w:szCs w:val="18"/>
                        <w:lang w:eastAsia="lv-LV"/>
                      </w:rPr>
                    </w:pPr>
                    <w:r w:rsidRPr="007B06BF">
                      <w:rPr>
                        <w:rFonts w:eastAsia="Calibri" w:cstheme="minorHAnsi"/>
                        <w:sz w:val="20"/>
                        <w:szCs w:val="18"/>
                        <w:lang w:eastAsia="lv-LV"/>
                      </w:rPr>
                      <w:t xml:space="preserve">PVN reģistrācijas numurs: </w:t>
                    </w:r>
                  </w:p>
                  <w:p w14:paraId="7CA38289" w14:textId="77777777" w:rsidR="007B06BF" w:rsidRDefault="007B06BF" w:rsidP="007B06BF">
                    <w:pPr>
                      <w:rPr>
                        <w:rFonts w:eastAsia="Calibri" w:cstheme="minorHAnsi"/>
                        <w:sz w:val="20"/>
                        <w:szCs w:val="18"/>
                        <w:lang w:eastAsia="lv-LV"/>
                      </w:rPr>
                    </w:pPr>
                    <w:r w:rsidRPr="007B06BF">
                      <w:rPr>
                        <w:rFonts w:eastAsia="Calibri" w:cstheme="minorHAnsi"/>
                        <w:sz w:val="20"/>
                        <w:szCs w:val="18"/>
                        <w:lang w:eastAsia="lv-LV"/>
                      </w:rPr>
                      <w:t xml:space="preserve">Adrese: </w:t>
                    </w:r>
                  </w:p>
                  <w:p w14:paraId="38FEC5B2" w14:textId="77777777" w:rsidR="005A2AFF" w:rsidRPr="007B06BF" w:rsidRDefault="005A2AFF" w:rsidP="007B06BF">
                    <w:pPr>
                      <w:rPr>
                        <w:rFonts w:eastAsia="Calibri" w:cstheme="minorHAnsi"/>
                        <w:sz w:val="20"/>
                        <w:szCs w:val="18"/>
                        <w:lang w:eastAsia="lv-LV"/>
                      </w:rPr>
                    </w:pPr>
                  </w:p>
                  <w:p w14:paraId="27D3CF89" w14:textId="77777777" w:rsidR="007B06BF" w:rsidRPr="007B06BF" w:rsidRDefault="007B06BF" w:rsidP="007B06BF">
                    <w:pPr>
                      <w:rPr>
                        <w:rFonts w:eastAsia="Calibri" w:cstheme="minorHAnsi"/>
                        <w:sz w:val="20"/>
                        <w:szCs w:val="18"/>
                      </w:rPr>
                    </w:pPr>
                    <w:r w:rsidRPr="007B06BF">
                      <w:rPr>
                        <w:rFonts w:eastAsia="Calibri" w:cstheme="minorHAnsi"/>
                        <w:sz w:val="20"/>
                        <w:szCs w:val="18"/>
                        <w:lang w:eastAsia="lv-LV"/>
                      </w:rPr>
                      <w:t xml:space="preserve">Banka: </w:t>
                    </w:r>
                  </w:p>
                  <w:p w14:paraId="03CD87BA" w14:textId="77777777" w:rsidR="007B06BF" w:rsidRPr="007B06BF" w:rsidRDefault="007B06BF" w:rsidP="007B06BF">
                    <w:pPr>
                      <w:rPr>
                        <w:rFonts w:eastAsia="Calibri" w:cstheme="minorHAnsi"/>
                        <w:sz w:val="20"/>
                        <w:szCs w:val="18"/>
                      </w:rPr>
                    </w:pPr>
                    <w:r w:rsidRPr="007B06BF">
                      <w:rPr>
                        <w:rFonts w:eastAsia="Calibri" w:cstheme="minorHAnsi"/>
                        <w:sz w:val="20"/>
                        <w:szCs w:val="18"/>
                        <w:lang w:eastAsia="lv-LV"/>
                      </w:rPr>
                      <w:t xml:space="preserve">Bankas kods: </w:t>
                    </w:r>
                  </w:p>
                  <w:p w14:paraId="7EDC8C96" w14:textId="77777777" w:rsidR="007B06BF" w:rsidRPr="007B06BF" w:rsidRDefault="007B06BF" w:rsidP="007B06BF">
                    <w:pPr>
                      <w:rPr>
                        <w:rFonts w:eastAsia="Calibri" w:cstheme="minorHAnsi"/>
                        <w:sz w:val="20"/>
                        <w:szCs w:val="18"/>
                        <w:lang w:eastAsia="lv-LV"/>
                      </w:rPr>
                    </w:pPr>
                    <w:r w:rsidRPr="007B06BF">
                      <w:rPr>
                        <w:rFonts w:eastAsia="Calibri" w:cstheme="minorHAnsi"/>
                        <w:sz w:val="20"/>
                        <w:szCs w:val="18"/>
                        <w:lang w:eastAsia="lv-LV"/>
                      </w:rPr>
                      <w:t xml:space="preserve">Konta numurs: </w:t>
                    </w:r>
                  </w:p>
                  <w:p w14:paraId="6E0A4229" w14:textId="77777777" w:rsidR="007B06BF" w:rsidRPr="007B06BF" w:rsidRDefault="007B06BF" w:rsidP="007B06BF">
                    <w:pPr>
                      <w:rPr>
                        <w:rFonts w:eastAsia="Calibri" w:cstheme="minorHAnsi"/>
                        <w:sz w:val="20"/>
                        <w:szCs w:val="18"/>
                      </w:rPr>
                    </w:pPr>
                    <w:r w:rsidRPr="007B06BF">
                      <w:rPr>
                        <w:rFonts w:eastAsia="Calibri" w:cstheme="minorHAnsi"/>
                        <w:sz w:val="20"/>
                        <w:szCs w:val="18"/>
                      </w:rPr>
                      <w:t xml:space="preserve">Tālrunis: </w:t>
                    </w:r>
                  </w:p>
                  <w:p w14:paraId="1A4D48DE" w14:textId="1A991FD9" w:rsidR="00BA0E0C" w:rsidRPr="007D4850" w:rsidRDefault="007B06BF" w:rsidP="007B06BF">
                    <w:pPr>
                      <w:spacing w:before="120" w:after="120"/>
                      <w:jc w:val="both"/>
                      <w:rPr>
                        <w:rFonts w:cs="Times New Roman"/>
                        <w:b/>
                        <w:sz w:val="20"/>
                        <w:szCs w:val="20"/>
                        <w:lang w:val="lv-LV"/>
                      </w:rPr>
                    </w:pPr>
                    <w:r w:rsidRPr="007B06BF">
                      <w:rPr>
                        <w:rFonts w:eastAsia="Calibri" w:cstheme="minorHAnsi"/>
                        <w:sz w:val="20"/>
                        <w:szCs w:val="18"/>
                        <w:lang w:eastAsia="lv-LV"/>
                      </w:rPr>
                      <w:t xml:space="preserve">E-pasts: </w:t>
                    </w:r>
                  </w:p>
                </w:sdtContent>
              </w:sdt>
            </w:sdtContent>
          </w:sdt>
        </w:tc>
      </w:tr>
      <w:tr w:rsidR="00BA0E0C" w:rsidRPr="00093B64" w14:paraId="2FEE325F" w14:textId="77777777" w:rsidTr="00D52BE9">
        <w:tc>
          <w:tcPr>
            <w:tcW w:w="5432" w:type="dxa"/>
          </w:tcPr>
          <w:p w14:paraId="3AF15738" w14:textId="77777777" w:rsidR="00BA0E0C" w:rsidRPr="007D4850" w:rsidRDefault="00BA0E0C" w:rsidP="001D665D">
            <w:pPr>
              <w:spacing w:before="120" w:after="120"/>
              <w:jc w:val="both"/>
              <w:rPr>
                <w:rFonts w:cs="Times New Roman"/>
                <w:i/>
                <w:sz w:val="20"/>
                <w:szCs w:val="20"/>
                <w:lang w:val="lv-LV"/>
              </w:rPr>
            </w:pPr>
            <w:r w:rsidRPr="007D4850">
              <w:rPr>
                <w:rFonts w:cs="Times New Roman"/>
                <w:i/>
                <w:sz w:val="20"/>
                <w:szCs w:val="20"/>
                <w:lang w:val="lv-LV"/>
              </w:rPr>
              <w:t>______________________________________</w:t>
            </w:r>
          </w:p>
          <w:p w14:paraId="57ABD6DC" w14:textId="56A649C4" w:rsidR="00BA0E0C" w:rsidRPr="007D4850" w:rsidRDefault="005A2AFF" w:rsidP="001D665D">
            <w:pPr>
              <w:spacing w:before="120" w:after="120"/>
              <w:jc w:val="both"/>
              <w:rPr>
                <w:rFonts w:cs="Times New Roman"/>
                <w:i/>
                <w:sz w:val="20"/>
                <w:szCs w:val="20"/>
                <w:lang w:val="lv-LV"/>
              </w:rPr>
            </w:pPr>
            <w:r>
              <w:rPr>
                <w:rFonts w:cs="Times New Roman"/>
                <w:i/>
                <w:sz w:val="20"/>
                <w:szCs w:val="20"/>
                <w:lang w:val="lv-LV"/>
              </w:rPr>
              <w:t>Diana Imaka</w:t>
            </w:r>
          </w:p>
        </w:tc>
        <w:tc>
          <w:tcPr>
            <w:tcW w:w="4574" w:type="dxa"/>
            <w:gridSpan w:val="2"/>
          </w:tcPr>
          <w:p w14:paraId="765E95C1" w14:textId="77777777" w:rsidR="00BA0E0C" w:rsidRPr="007D4850" w:rsidRDefault="00BA0E0C" w:rsidP="001D665D">
            <w:pPr>
              <w:spacing w:before="120" w:after="120"/>
              <w:jc w:val="both"/>
              <w:rPr>
                <w:rFonts w:cs="Times New Roman"/>
                <w:i/>
                <w:sz w:val="20"/>
                <w:szCs w:val="20"/>
                <w:lang w:val="lv-LV"/>
              </w:rPr>
            </w:pPr>
            <w:r w:rsidRPr="007D4850">
              <w:rPr>
                <w:rFonts w:cs="Times New Roman"/>
                <w:i/>
                <w:sz w:val="20"/>
                <w:szCs w:val="20"/>
                <w:lang w:val="lv-LV"/>
              </w:rPr>
              <w:t>______________________________________</w:t>
            </w:r>
          </w:p>
          <w:sdt>
            <w:sdtPr>
              <w:rPr>
                <w:rFonts w:cs="Times New Roman"/>
                <w:i/>
                <w:sz w:val="20"/>
                <w:szCs w:val="20"/>
                <w:lang w:val="lv-LV"/>
              </w:rPr>
              <w:id w:val="-256748132"/>
              <w:placeholder>
                <w:docPart w:val="DefaultPlaceholder_-1854013440"/>
              </w:placeholder>
            </w:sdtPr>
            <w:sdtContent>
              <w:p w14:paraId="25A3F32B" w14:textId="311E7421" w:rsidR="00BA0E0C" w:rsidRPr="00304708" w:rsidRDefault="00203A47" w:rsidP="001D665D">
                <w:pPr>
                  <w:spacing w:before="120" w:after="120"/>
                  <w:jc w:val="both"/>
                  <w:rPr>
                    <w:rFonts w:cs="Times New Roman"/>
                    <w:sz w:val="20"/>
                    <w:szCs w:val="20"/>
                    <w:lang w:val="lv-LV"/>
                  </w:rPr>
                </w:pPr>
                <w:r>
                  <w:rPr>
                    <w:rFonts w:cs="Times New Roman"/>
                    <w:i/>
                    <w:sz w:val="20"/>
                    <w:szCs w:val="20"/>
                    <w:lang w:val="lv-LV"/>
                  </w:rPr>
                  <w:t>Vārds Uzvārds</w:t>
                </w:r>
              </w:p>
            </w:sdtContent>
          </w:sdt>
          <w:p w14:paraId="1DB47B62" w14:textId="77777777" w:rsidR="00BA0E0C" w:rsidRPr="00870B74" w:rsidRDefault="00BA0E0C" w:rsidP="001D665D">
            <w:pPr>
              <w:rPr>
                <w:rFonts w:cs="Times New Roman"/>
                <w:sz w:val="20"/>
                <w:szCs w:val="20"/>
                <w:lang w:val="lv-LV"/>
              </w:rPr>
            </w:pPr>
          </w:p>
        </w:tc>
      </w:tr>
    </w:tbl>
    <w:p w14:paraId="6B2887AF" w14:textId="77777777" w:rsidR="005E4B42" w:rsidRPr="004D57F4" w:rsidRDefault="005E4B42">
      <w:pPr>
        <w:rPr>
          <w:rFonts w:cs="Times New Roman"/>
          <w:sz w:val="20"/>
          <w:szCs w:val="20"/>
        </w:rPr>
      </w:pPr>
    </w:p>
    <w:sectPr w:rsidR="005E4B42" w:rsidRPr="004D57F4" w:rsidSect="009248E5">
      <w:footerReference w:type="default" r:id="rId13"/>
      <w:pgSz w:w="11906" w:h="16838"/>
      <w:pgMar w:top="1440" w:right="1440" w:bottom="1440" w:left="1440" w:header="708" w:footer="3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A0161" w14:textId="77777777" w:rsidR="001B021B" w:rsidRDefault="001B021B" w:rsidP="009248E5">
      <w:r>
        <w:separator/>
      </w:r>
    </w:p>
  </w:endnote>
  <w:endnote w:type="continuationSeparator" w:id="0">
    <w:p w14:paraId="3584338B" w14:textId="77777777" w:rsidR="001B021B" w:rsidRDefault="001B021B" w:rsidP="00924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3281651"/>
      <w:docPartObj>
        <w:docPartGallery w:val="Page Numbers (Bottom of Page)"/>
        <w:docPartUnique/>
      </w:docPartObj>
    </w:sdtPr>
    <w:sdtEndPr>
      <w:rPr>
        <w:noProof/>
      </w:rPr>
    </w:sdtEndPr>
    <w:sdtContent>
      <w:p w14:paraId="72ADC3C1" w14:textId="0375E41B" w:rsidR="009248E5" w:rsidRDefault="009248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178B40" w14:textId="77777777" w:rsidR="009248E5" w:rsidRDefault="00924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D3E73" w14:textId="77777777" w:rsidR="001B021B" w:rsidRDefault="001B021B" w:rsidP="009248E5">
      <w:r>
        <w:separator/>
      </w:r>
    </w:p>
  </w:footnote>
  <w:footnote w:type="continuationSeparator" w:id="0">
    <w:p w14:paraId="07C60EB5" w14:textId="77777777" w:rsidR="001B021B" w:rsidRDefault="001B021B" w:rsidP="009248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5D8E"/>
    <w:multiLevelType w:val="multilevel"/>
    <w:tmpl w:val="4B24161E"/>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val="0"/>
        <w:sz w:val="22"/>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855"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AA46F88"/>
    <w:multiLevelType w:val="hybridMultilevel"/>
    <w:tmpl w:val="7CC07804"/>
    <w:lvl w:ilvl="0" w:tplc="9752C81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067108"/>
    <w:multiLevelType w:val="multilevel"/>
    <w:tmpl w:val="8BD62FB0"/>
    <w:lvl w:ilvl="0">
      <w:start w:val="2"/>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 w15:restartNumberingAfterBreak="0">
    <w:nsid w:val="18E960C8"/>
    <w:multiLevelType w:val="hybridMultilevel"/>
    <w:tmpl w:val="B9847408"/>
    <w:lvl w:ilvl="0" w:tplc="0F6CE242">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4" w15:restartNumberingAfterBreak="0">
    <w:nsid w:val="1E427980"/>
    <w:multiLevelType w:val="multilevel"/>
    <w:tmpl w:val="D766E806"/>
    <w:lvl w:ilvl="0">
      <w:start w:val="3"/>
      <w:numFmt w:val="decimal"/>
      <w:lvlText w:val="%1."/>
      <w:lvlJc w:val="left"/>
      <w:pPr>
        <w:ind w:left="360" w:hanging="360"/>
      </w:pPr>
      <w:rPr>
        <w:rFonts w:hint="default"/>
        <w:b w:val="0"/>
      </w:rPr>
    </w:lvl>
    <w:lvl w:ilvl="1">
      <w:start w:val="1"/>
      <w:numFmt w:val="decimal"/>
      <w:lvlText w:val="%1.%2."/>
      <w:lvlJc w:val="left"/>
      <w:pPr>
        <w:ind w:left="961" w:hanging="360"/>
      </w:pPr>
      <w:rPr>
        <w:rFonts w:hint="default"/>
        <w:b w:val="0"/>
      </w:rPr>
    </w:lvl>
    <w:lvl w:ilvl="2">
      <w:start w:val="1"/>
      <w:numFmt w:val="decimal"/>
      <w:lvlText w:val="%1.%2.%3."/>
      <w:lvlJc w:val="left"/>
      <w:pPr>
        <w:ind w:left="1922" w:hanging="720"/>
      </w:pPr>
      <w:rPr>
        <w:rFonts w:hint="default"/>
        <w:b w:val="0"/>
      </w:rPr>
    </w:lvl>
    <w:lvl w:ilvl="3">
      <w:start w:val="1"/>
      <w:numFmt w:val="decimal"/>
      <w:lvlText w:val="%1.%2.%3.%4."/>
      <w:lvlJc w:val="left"/>
      <w:pPr>
        <w:ind w:left="2523" w:hanging="720"/>
      </w:pPr>
      <w:rPr>
        <w:rFonts w:hint="default"/>
        <w:b w:val="0"/>
      </w:rPr>
    </w:lvl>
    <w:lvl w:ilvl="4">
      <w:start w:val="1"/>
      <w:numFmt w:val="decimal"/>
      <w:lvlText w:val="%1.%2.%3.%4.%5."/>
      <w:lvlJc w:val="left"/>
      <w:pPr>
        <w:ind w:left="3484" w:hanging="1080"/>
      </w:pPr>
      <w:rPr>
        <w:rFonts w:hint="default"/>
        <w:b w:val="0"/>
      </w:rPr>
    </w:lvl>
    <w:lvl w:ilvl="5">
      <w:start w:val="1"/>
      <w:numFmt w:val="decimal"/>
      <w:lvlText w:val="%1.%2.%3.%4.%5.%6."/>
      <w:lvlJc w:val="left"/>
      <w:pPr>
        <w:ind w:left="4085" w:hanging="1080"/>
      </w:pPr>
      <w:rPr>
        <w:rFonts w:hint="default"/>
        <w:b w:val="0"/>
      </w:rPr>
    </w:lvl>
    <w:lvl w:ilvl="6">
      <w:start w:val="1"/>
      <w:numFmt w:val="decimal"/>
      <w:lvlText w:val="%1.%2.%3.%4.%5.%6.%7."/>
      <w:lvlJc w:val="left"/>
      <w:pPr>
        <w:ind w:left="5046" w:hanging="1440"/>
      </w:pPr>
      <w:rPr>
        <w:rFonts w:hint="default"/>
        <w:b w:val="0"/>
      </w:rPr>
    </w:lvl>
    <w:lvl w:ilvl="7">
      <w:start w:val="1"/>
      <w:numFmt w:val="decimal"/>
      <w:lvlText w:val="%1.%2.%3.%4.%5.%6.%7.%8."/>
      <w:lvlJc w:val="left"/>
      <w:pPr>
        <w:ind w:left="5647" w:hanging="1440"/>
      </w:pPr>
      <w:rPr>
        <w:rFonts w:hint="default"/>
        <w:b w:val="0"/>
      </w:rPr>
    </w:lvl>
    <w:lvl w:ilvl="8">
      <w:start w:val="1"/>
      <w:numFmt w:val="decimal"/>
      <w:lvlText w:val="%1.%2.%3.%4.%5.%6.%7.%8.%9."/>
      <w:lvlJc w:val="left"/>
      <w:pPr>
        <w:ind w:left="6608" w:hanging="1800"/>
      </w:pPr>
      <w:rPr>
        <w:rFonts w:hint="default"/>
        <w:b w:val="0"/>
      </w:rPr>
    </w:lvl>
  </w:abstractNum>
  <w:abstractNum w:abstractNumId="5" w15:restartNumberingAfterBreak="0">
    <w:nsid w:val="1E666BB2"/>
    <w:multiLevelType w:val="hybridMultilevel"/>
    <w:tmpl w:val="11262E2E"/>
    <w:lvl w:ilvl="0" w:tplc="148CC13A">
      <w:start w:val="1"/>
      <w:numFmt w:val="lowerRoman"/>
      <w:lvlText w:val="%1)"/>
      <w:lvlJc w:val="left"/>
      <w:pPr>
        <w:ind w:left="752" w:hanging="720"/>
      </w:pPr>
      <w:rPr>
        <w:rFonts w:ascii="Times New Roman" w:eastAsia="Calibri" w:hAnsi="Times New Roman" w:cs="Times New Roman"/>
      </w:rPr>
    </w:lvl>
    <w:lvl w:ilvl="1" w:tplc="08090019">
      <w:start w:val="1"/>
      <w:numFmt w:val="lowerLetter"/>
      <w:lvlText w:val="%2."/>
      <w:lvlJc w:val="left"/>
      <w:pPr>
        <w:ind w:left="1112" w:hanging="360"/>
      </w:pPr>
    </w:lvl>
    <w:lvl w:ilvl="2" w:tplc="0809001B">
      <w:start w:val="1"/>
      <w:numFmt w:val="lowerRoman"/>
      <w:lvlText w:val="%3."/>
      <w:lvlJc w:val="right"/>
      <w:pPr>
        <w:ind w:left="1832" w:hanging="180"/>
      </w:pPr>
    </w:lvl>
    <w:lvl w:ilvl="3" w:tplc="0809000F">
      <w:start w:val="1"/>
      <w:numFmt w:val="decimal"/>
      <w:lvlText w:val="%4."/>
      <w:lvlJc w:val="left"/>
      <w:pPr>
        <w:ind w:left="2552" w:hanging="360"/>
      </w:pPr>
    </w:lvl>
    <w:lvl w:ilvl="4" w:tplc="08090019">
      <w:start w:val="1"/>
      <w:numFmt w:val="lowerLetter"/>
      <w:lvlText w:val="%5."/>
      <w:lvlJc w:val="left"/>
      <w:pPr>
        <w:ind w:left="3272" w:hanging="360"/>
      </w:pPr>
    </w:lvl>
    <w:lvl w:ilvl="5" w:tplc="0809001B">
      <w:start w:val="1"/>
      <w:numFmt w:val="lowerRoman"/>
      <w:lvlText w:val="%6."/>
      <w:lvlJc w:val="right"/>
      <w:pPr>
        <w:ind w:left="3992" w:hanging="180"/>
      </w:pPr>
    </w:lvl>
    <w:lvl w:ilvl="6" w:tplc="0809000F">
      <w:start w:val="1"/>
      <w:numFmt w:val="decimal"/>
      <w:lvlText w:val="%7."/>
      <w:lvlJc w:val="left"/>
      <w:pPr>
        <w:ind w:left="4712" w:hanging="360"/>
      </w:pPr>
    </w:lvl>
    <w:lvl w:ilvl="7" w:tplc="08090019">
      <w:start w:val="1"/>
      <w:numFmt w:val="lowerLetter"/>
      <w:lvlText w:val="%8."/>
      <w:lvlJc w:val="left"/>
      <w:pPr>
        <w:ind w:left="5432" w:hanging="360"/>
      </w:pPr>
    </w:lvl>
    <w:lvl w:ilvl="8" w:tplc="0809001B">
      <w:start w:val="1"/>
      <w:numFmt w:val="lowerRoman"/>
      <w:lvlText w:val="%9."/>
      <w:lvlJc w:val="right"/>
      <w:pPr>
        <w:ind w:left="6152" w:hanging="180"/>
      </w:pPr>
    </w:lvl>
  </w:abstractNum>
  <w:abstractNum w:abstractNumId="6" w15:restartNumberingAfterBreak="0">
    <w:nsid w:val="2BF05802"/>
    <w:multiLevelType w:val="multilevel"/>
    <w:tmpl w:val="0B9E2108"/>
    <w:lvl w:ilvl="0">
      <w:start w:val="4"/>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EA36971"/>
    <w:multiLevelType w:val="hybridMultilevel"/>
    <w:tmpl w:val="658E70D8"/>
    <w:lvl w:ilvl="0" w:tplc="2DDEFD1A">
      <w:start w:val="1"/>
      <w:numFmt w:val="lowerRoman"/>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2EFC4145"/>
    <w:multiLevelType w:val="hybridMultilevel"/>
    <w:tmpl w:val="7CC07804"/>
    <w:lvl w:ilvl="0" w:tplc="9752C81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8010D7"/>
    <w:multiLevelType w:val="multilevel"/>
    <w:tmpl w:val="48C29286"/>
    <w:lvl w:ilvl="0">
      <w:start w:val="3"/>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0" w15:restartNumberingAfterBreak="0">
    <w:nsid w:val="4D417541"/>
    <w:multiLevelType w:val="hybridMultilevel"/>
    <w:tmpl w:val="E2F4310E"/>
    <w:lvl w:ilvl="0" w:tplc="21BA63E0">
      <w:numFmt w:val="bullet"/>
      <w:lvlText w:val="-"/>
      <w:lvlJc w:val="left"/>
      <w:pPr>
        <w:ind w:left="927" w:hanging="360"/>
      </w:pPr>
      <w:rPr>
        <w:rFonts w:ascii="Calibri" w:eastAsiaTheme="minorHAnsi" w:hAnsi="Calibri" w:cs="Calibri" w:hint="default"/>
      </w:rPr>
    </w:lvl>
    <w:lvl w:ilvl="1" w:tplc="04260003">
      <w:start w:val="1"/>
      <w:numFmt w:val="bullet"/>
      <w:lvlText w:val="o"/>
      <w:lvlJc w:val="left"/>
      <w:pPr>
        <w:ind w:left="1647" w:hanging="360"/>
      </w:pPr>
      <w:rPr>
        <w:rFonts w:ascii="Courier New" w:hAnsi="Courier New" w:cs="Courier New" w:hint="default"/>
      </w:rPr>
    </w:lvl>
    <w:lvl w:ilvl="2" w:tplc="04260005">
      <w:start w:val="1"/>
      <w:numFmt w:val="bullet"/>
      <w:lvlText w:val=""/>
      <w:lvlJc w:val="left"/>
      <w:pPr>
        <w:ind w:left="2367" w:hanging="360"/>
      </w:pPr>
      <w:rPr>
        <w:rFonts w:ascii="Wingdings" w:hAnsi="Wingdings" w:hint="default"/>
      </w:rPr>
    </w:lvl>
    <w:lvl w:ilvl="3" w:tplc="04260001">
      <w:start w:val="1"/>
      <w:numFmt w:val="bullet"/>
      <w:lvlText w:val=""/>
      <w:lvlJc w:val="left"/>
      <w:pPr>
        <w:ind w:left="3087" w:hanging="360"/>
      </w:pPr>
      <w:rPr>
        <w:rFonts w:ascii="Symbol" w:hAnsi="Symbol" w:hint="default"/>
      </w:rPr>
    </w:lvl>
    <w:lvl w:ilvl="4" w:tplc="04260003">
      <w:start w:val="1"/>
      <w:numFmt w:val="bullet"/>
      <w:lvlText w:val="o"/>
      <w:lvlJc w:val="left"/>
      <w:pPr>
        <w:ind w:left="3807" w:hanging="360"/>
      </w:pPr>
      <w:rPr>
        <w:rFonts w:ascii="Courier New" w:hAnsi="Courier New" w:cs="Courier New" w:hint="default"/>
      </w:rPr>
    </w:lvl>
    <w:lvl w:ilvl="5" w:tplc="04260005">
      <w:start w:val="1"/>
      <w:numFmt w:val="bullet"/>
      <w:lvlText w:val=""/>
      <w:lvlJc w:val="left"/>
      <w:pPr>
        <w:ind w:left="4527" w:hanging="360"/>
      </w:pPr>
      <w:rPr>
        <w:rFonts w:ascii="Wingdings" w:hAnsi="Wingdings" w:hint="default"/>
      </w:rPr>
    </w:lvl>
    <w:lvl w:ilvl="6" w:tplc="04260001">
      <w:start w:val="1"/>
      <w:numFmt w:val="bullet"/>
      <w:lvlText w:val=""/>
      <w:lvlJc w:val="left"/>
      <w:pPr>
        <w:ind w:left="5247" w:hanging="360"/>
      </w:pPr>
      <w:rPr>
        <w:rFonts w:ascii="Symbol" w:hAnsi="Symbol" w:hint="default"/>
      </w:rPr>
    </w:lvl>
    <w:lvl w:ilvl="7" w:tplc="04260003">
      <w:start w:val="1"/>
      <w:numFmt w:val="bullet"/>
      <w:lvlText w:val="o"/>
      <w:lvlJc w:val="left"/>
      <w:pPr>
        <w:ind w:left="5967" w:hanging="360"/>
      </w:pPr>
      <w:rPr>
        <w:rFonts w:ascii="Courier New" w:hAnsi="Courier New" w:cs="Courier New" w:hint="default"/>
      </w:rPr>
    </w:lvl>
    <w:lvl w:ilvl="8" w:tplc="04260005">
      <w:start w:val="1"/>
      <w:numFmt w:val="bullet"/>
      <w:lvlText w:val=""/>
      <w:lvlJc w:val="left"/>
      <w:pPr>
        <w:ind w:left="6687" w:hanging="360"/>
      </w:pPr>
      <w:rPr>
        <w:rFonts w:ascii="Wingdings" w:hAnsi="Wingdings" w:hint="default"/>
      </w:rPr>
    </w:lvl>
  </w:abstractNum>
  <w:abstractNum w:abstractNumId="11" w15:restartNumberingAfterBreak="0">
    <w:nsid w:val="5A9A0196"/>
    <w:multiLevelType w:val="multilevel"/>
    <w:tmpl w:val="9516D5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0F9756E"/>
    <w:multiLevelType w:val="multilevel"/>
    <w:tmpl w:val="E5DE252E"/>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61FC3F70"/>
    <w:multiLevelType w:val="multilevel"/>
    <w:tmpl w:val="A8B49EBA"/>
    <w:lvl w:ilvl="0">
      <w:start w:val="3"/>
      <w:numFmt w:val="decimal"/>
      <w:lvlText w:val="%1."/>
      <w:lvlJc w:val="left"/>
      <w:pPr>
        <w:ind w:left="360" w:hanging="360"/>
      </w:pPr>
      <w:rPr>
        <w:rFonts w:hint="default"/>
        <w:b w:val="0"/>
      </w:rPr>
    </w:lvl>
    <w:lvl w:ilvl="1">
      <w:start w:val="2"/>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4" w15:restartNumberingAfterBreak="0">
    <w:nsid w:val="61FE0A4F"/>
    <w:multiLevelType w:val="hybridMultilevel"/>
    <w:tmpl w:val="1A22EF08"/>
    <w:lvl w:ilvl="0" w:tplc="885481DA">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5" w15:restartNumberingAfterBreak="0">
    <w:nsid w:val="6EAA4B97"/>
    <w:multiLevelType w:val="multilevel"/>
    <w:tmpl w:val="D4962EC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6F142E44"/>
    <w:multiLevelType w:val="multilevel"/>
    <w:tmpl w:val="80A4B9C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F2B0918"/>
    <w:multiLevelType w:val="multilevel"/>
    <w:tmpl w:val="FDEAA39C"/>
    <w:lvl w:ilvl="0">
      <w:start w:val="19"/>
      <w:numFmt w:val="decimal"/>
      <w:lvlText w:val="%1."/>
      <w:lvlJc w:val="left"/>
      <w:pPr>
        <w:ind w:left="500" w:hanging="500"/>
      </w:pPr>
      <w:rPr>
        <w:rFonts w:hint="default"/>
      </w:rPr>
    </w:lvl>
    <w:lvl w:ilvl="1">
      <w:start w:val="23"/>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E9F5F79"/>
    <w:multiLevelType w:val="hybridMultilevel"/>
    <w:tmpl w:val="1A22EF08"/>
    <w:lvl w:ilvl="0" w:tplc="885481DA">
      <w:start w:val="1"/>
      <w:numFmt w:val="decimal"/>
      <w:lvlText w:val="%1."/>
      <w:lvlJc w:val="left"/>
      <w:pPr>
        <w:ind w:left="394" w:hanging="360"/>
      </w:pPr>
      <w:rPr>
        <w:rFonts w:hint="default"/>
      </w:rPr>
    </w:lvl>
    <w:lvl w:ilvl="1" w:tplc="08090019">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num w:numId="1">
    <w:abstractNumId w:val="2"/>
  </w:num>
  <w:num w:numId="2">
    <w:abstractNumId w:val="15"/>
  </w:num>
  <w:num w:numId="3">
    <w:abstractNumId w:val="6"/>
  </w:num>
  <w:num w:numId="4">
    <w:abstractNumId w:val="8"/>
  </w:num>
  <w:num w:numId="5">
    <w:abstractNumId w:val="1"/>
  </w:num>
  <w:num w:numId="6">
    <w:abstractNumId w:val="13"/>
  </w:num>
  <w:num w:numId="7">
    <w:abstractNumId w:val="9"/>
  </w:num>
  <w:num w:numId="8">
    <w:abstractNumId w:val="18"/>
  </w:num>
  <w:num w:numId="9">
    <w:abstractNumId w:val="14"/>
  </w:num>
  <w:num w:numId="10">
    <w:abstractNumId w:val="4"/>
  </w:num>
  <w:num w:numId="11">
    <w:abstractNumId w:val="12"/>
  </w:num>
  <w:num w:numId="12">
    <w:abstractNumId w:val="10"/>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6XRVYB1tgt6QdXijbQ+BBKZPk0yUqZMT4Zx9iZ8T9b6SHusGPNKgDQ17XqALsRvfmDImFyPLnsC4gML4McaQ==" w:salt="MmtgrBIoaJWc8OpZuXXzz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B42"/>
    <w:rsid w:val="00003463"/>
    <w:rsid w:val="00012E6A"/>
    <w:rsid w:val="000140AD"/>
    <w:rsid w:val="00016E1D"/>
    <w:rsid w:val="000171BB"/>
    <w:rsid w:val="00025F0A"/>
    <w:rsid w:val="00026616"/>
    <w:rsid w:val="00031607"/>
    <w:rsid w:val="000333CA"/>
    <w:rsid w:val="0003641C"/>
    <w:rsid w:val="00042F64"/>
    <w:rsid w:val="000522FA"/>
    <w:rsid w:val="0005313C"/>
    <w:rsid w:val="000606EB"/>
    <w:rsid w:val="00060776"/>
    <w:rsid w:val="000663BB"/>
    <w:rsid w:val="00071A21"/>
    <w:rsid w:val="000728C9"/>
    <w:rsid w:val="00072D6D"/>
    <w:rsid w:val="00074CEF"/>
    <w:rsid w:val="00076EAB"/>
    <w:rsid w:val="00081C00"/>
    <w:rsid w:val="00082880"/>
    <w:rsid w:val="00082BF8"/>
    <w:rsid w:val="00093B64"/>
    <w:rsid w:val="000963B1"/>
    <w:rsid w:val="000A1218"/>
    <w:rsid w:val="000A6168"/>
    <w:rsid w:val="000C77BA"/>
    <w:rsid w:val="000D4B2A"/>
    <w:rsid w:val="000E36ED"/>
    <w:rsid w:val="000E6499"/>
    <w:rsid w:val="000E688C"/>
    <w:rsid w:val="000F2B33"/>
    <w:rsid w:val="000F58EA"/>
    <w:rsid w:val="00105C75"/>
    <w:rsid w:val="00115436"/>
    <w:rsid w:val="001160AF"/>
    <w:rsid w:val="00122599"/>
    <w:rsid w:val="001344C1"/>
    <w:rsid w:val="00137CF2"/>
    <w:rsid w:val="0016644E"/>
    <w:rsid w:val="001744B7"/>
    <w:rsid w:val="00186D34"/>
    <w:rsid w:val="00190DFD"/>
    <w:rsid w:val="00194080"/>
    <w:rsid w:val="001A5228"/>
    <w:rsid w:val="001A795D"/>
    <w:rsid w:val="001B021B"/>
    <w:rsid w:val="001B4C1F"/>
    <w:rsid w:val="001B7058"/>
    <w:rsid w:val="001C5BE6"/>
    <w:rsid w:val="001D4BBA"/>
    <w:rsid w:val="001E1ABD"/>
    <w:rsid w:val="001E1D91"/>
    <w:rsid w:val="001E24A3"/>
    <w:rsid w:val="001E5E2A"/>
    <w:rsid w:val="001F5C47"/>
    <w:rsid w:val="00203A47"/>
    <w:rsid w:val="00204F8E"/>
    <w:rsid w:val="00213130"/>
    <w:rsid w:val="002134A8"/>
    <w:rsid w:val="002153BB"/>
    <w:rsid w:val="00217690"/>
    <w:rsid w:val="00224C7E"/>
    <w:rsid w:val="00226FB1"/>
    <w:rsid w:val="0022710F"/>
    <w:rsid w:val="00231F10"/>
    <w:rsid w:val="00234085"/>
    <w:rsid w:val="00251903"/>
    <w:rsid w:val="00254692"/>
    <w:rsid w:val="002558A2"/>
    <w:rsid w:val="0025617D"/>
    <w:rsid w:val="00263A92"/>
    <w:rsid w:val="00275FA2"/>
    <w:rsid w:val="00281D2B"/>
    <w:rsid w:val="00293AF4"/>
    <w:rsid w:val="00294DBC"/>
    <w:rsid w:val="002A0F71"/>
    <w:rsid w:val="002A218D"/>
    <w:rsid w:val="002A2C7A"/>
    <w:rsid w:val="002B056E"/>
    <w:rsid w:val="002C174C"/>
    <w:rsid w:val="002C242F"/>
    <w:rsid w:val="002C3433"/>
    <w:rsid w:val="002D1332"/>
    <w:rsid w:val="002D6056"/>
    <w:rsid w:val="002D6A1D"/>
    <w:rsid w:val="002E2AEB"/>
    <w:rsid w:val="002E36A0"/>
    <w:rsid w:val="002E503F"/>
    <w:rsid w:val="002F0FE8"/>
    <w:rsid w:val="003009E8"/>
    <w:rsid w:val="003028FD"/>
    <w:rsid w:val="00304708"/>
    <w:rsid w:val="003167FB"/>
    <w:rsid w:val="00325B50"/>
    <w:rsid w:val="00332816"/>
    <w:rsid w:val="003358CA"/>
    <w:rsid w:val="0033646C"/>
    <w:rsid w:val="00337A0C"/>
    <w:rsid w:val="00337C05"/>
    <w:rsid w:val="00354409"/>
    <w:rsid w:val="003551C7"/>
    <w:rsid w:val="003606A9"/>
    <w:rsid w:val="003675AE"/>
    <w:rsid w:val="0037685B"/>
    <w:rsid w:val="00382FE6"/>
    <w:rsid w:val="0038584A"/>
    <w:rsid w:val="003874D2"/>
    <w:rsid w:val="003909B7"/>
    <w:rsid w:val="00391DD3"/>
    <w:rsid w:val="003B68B9"/>
    <w:rsid w:val="003B7D75"/>
    <w:rsid w:val="003C1E9C"/>
    <w:rsid w:val="003D2DAD"/>
    <w:rsid w:val="003E19D4"/>
    <w:rsid w:val="003E1A33"/>
    <w:rsid w:val="003F1DB2"/>
    <w:rsid w:val="003F2DF7"/>
    <w:rsid w:val="003F79BA"/>
    <w:rsid w:val="004012AC"/>
    <w:rsid w:val="00402B00"/>
    <w:rsid w:val="0040784C"/>
    <w:rsid w:val="00411C9E"/>
    <w:rsid w:val="004137AD"/>
    <w:rsid w:val="00414C51"/>
    <w:rsid w:val="004257A1"/>
    <w:rsid w:val="00426534"/>
    <w:rsid w:val="004405DC"/>
    <w:rsid w:val="004447E9"/>
    <w:rsid w:val="00450EE8"/>
    <w:rsid w:val="0046332E"/>
    <w:rsid w:val="00463CF1"/>
    <w:rsid w:val="00472887"/>
    <w:rsid w:val="0047492B"/>
    <w:rsid w:val="0048310C"/>
    <w:rsid w:val="00484AAF"/>
    <w:rsid w:val="004914E7"/>
    <w:rsid w:val="00492050"/>
    <w:rsid w:val="00497131"/>
    <w:rsid w:val="00497C4D"/>
    <w:rsid w:val="004A0EE6"/>
    <w:rsid w:val="004A1924"/>
    <w:rsid w:val="004A2587"/>
    <w:rsid w:val="004A28FC"/>
    <w:rsid w:val="004A767A"/>
    <w:rsid w:val="004B4306"/>
    <w:rsid w:val="004B718B"/>
    <w:rsid w:val="004C15DE"/>
    <w:rsid w:val="004C25E8"/>
    <w:rsid w:val="004C2E24"/>
    <w:rsid w:val="004D19E2"/>
    <w:rsid w:val="004D57F4"/>
    <w:rsid w:val="004D6115"/>
    <w:rsid w:val="004E1177"/>
    <w:rsid w:val="004E3437"/>
    <w:rsid w:val="004E6BF4"/>
    <w:rsid w:val="004F601A"/>
    <w:rsid w:val="00506B75"/>
    <w:rsid w:val="0051204D"/>
    <w:rsid w:val="00512F80"/>
    <w:rsid w:val="00516678"/>
    <w:rsid w:val="00521B68"/>
    <w:rsid w:val="0052256C"/>
    <w:rsid w:val="00526D54"/>
    <w:rsid w:val="005336FD"/>
    <w:rsid w:val="0053592D"/>
    <w:rsid w:val="00555F1E"/>
    <w:rsid w:val="005657A2"/>
    <w:rsid w:val="005706DC"/>
    <w:rsid w:val="00573FBA"/>
    <w:rsid w:val="00583BD8"/>
    <w:rsid w:val="00586C37"/>
    <w:rsid w:val="00596490"/>
    <w:rsid w:val="00597848"/>
    <w:rsid w:val="005A2AFF"/>
    <w:rsid w:val="005B08C6"/>
    <w:rsid w:val="005B3067"/>
    <w:rsid w:val="005B5686"/>
    <w:rsid w:val="005B6B56"/>
    <w:rsid w:val="005B7D1C"/>
    <w:rsid w:val="005C0D17"/>
    <w:rsid w:val="005D540E"/>
    <w:rsid w:val="005E2105"/>
    <w:rsid w:val="005E4B42"/>
    <w:rsid w:val="005F1AE5"/>
    <w:rsid w:val="005F2F41"/>
    <w:rsid w:val="00607629"/>
    <w:rsid w:val="006106F7"/>
    <w:rsid w:val="00615273"/>
    <w:rsid w:val="00624742"/>
    <w:rsid w:val="00624F5E"/>
    <w:rsid w:val="00625D5F"/>
    <w:rsid w:val="00625E27"/>
    <w:rsid w:val="0062633A"/>
    <w:rsid w:val="00627CDB"/>
    <w:rsid w:val="00634534"/>
    <w:rsid w:val="00640ED9"/>
    <w:rsid w:val="00644389"/>
    <w:rsid w:val="006519FA"/>
    <w:rsid w:val="00662742"/>
    <w:rsid w:val="006646B7"/>
    <w:rsid w:val="00667710"/>
    <w:rsid w:val="00674906"/>
    <w:rsid w:val="00681B43"/>
    <w:rsid w:val="00685103"/>
    <w:rsid w:val="00685438"/>
    <w:rsid w:val="00685ADC"/>
    <w:rsid w:val="006862C0"/>
    <w:rsid w:val="00693388"/>
    <w:rsid w:val="00694066"/>
    <w:rsid w:val="006A0EC9"/>
    <w:rsid w:val="006A12D7"/>
    <w:rsid w:val="006B13DE"/>
    <w:rsid w:val="006B6926"/>
    <w:rsid w:val="006B6CF7"/>
    <w:rsid w:val="006C19E5"/>
    <w:rsid w:val="006D3ECD"/>
    <w:rsid w:val="006E010F"/>
    <w:rsid w:val="006F0D70"/>
    <w:rsid w:val="006F6EE3"/>
    <w:rsid w:val="007125F2"/>
    <w:rsid w:val="0072089C"/>
    <w:rsid w:val="00727F70"/>
    <w:rsid w:val="007304A3"/>
    <w:rsid w:val="00732231"/>
    <w:rsid w:val="0074042C"/>
    <w:rsid w:val="007462A6"/>
    <w:rsid w:val="00746CFB"/>
    <w:rsid w:val="00746F6C"/>
    <w:rsid w:val="00750E30"/>
    <w:rsid w:val="00756795"/>
    <w:rsid w:val="0075758A"/>
    <w:rsid w:val="00762288"/>
    <w:rsid w:val="00767CAB"/>
    <w:rsid w:val="00770493"/>
    <w:rsid w:val="00783857"/>
    <w:rsid w:val="007852F5"/>
    <w:rsid w:val="00786B0C"/>
    <w:rsid w:val="00787594"/>
    <w:rsid w:val="00787D4E"/>
    <w:rsid w:val="00793053"/>
    <w:rsid w:val="0079333C"/>
    <w:rsid w:val="007A11DA"/>
    <w:rsid w:val="007A3508"/>
    <w:rsid w:val="007A42DE"/>
    <w:rsid w:val="007A437C"/>
    <w:rsid w:val="007B0555"/>
    <w:rsid w:val="007B06BF"/>
    <w:rsid w:val="007B2B5B"/>
    <w:rsid w:val="007D4850"/>
    <w:rsid w:val="007F50E6"/>
    <w:rsid w:val="00803C9B"/>
    <w:rsid w:val="00804A23"/>
    <w:rsid w:val="008239F3"/>
    <w:rsid w:val="00836712"/>
    <w:rsid w:val="00837A92"/>
    <w:rsid w:val="00840179"/>
    <w:rsid w:val="0085018F"/>
    <w:rsid w:val="00860908"/>
    <w:rsid w:val="00870B74"/>
    <w:rsid w:val="008726F8"/>
    <w:rsid w:val="00880583"/>
    <w:rsid w:val="0088186F"/>
    <w:rsid w:val="00882C7B"/>
    <w:rsid w:val="00890726"/>
    <w:rsid w:val="0089244D"/>
    <w:rsid w:val="008978BB"/>
    <w:rsid w:val="008A7A5E"/>
    <w:rsid w:val="008B7C74"/>
    <w:rsid w:val="008C15CB"/>
    <w:rsid w:val="008D40A3"/>
    <w:rsid w:val="008E4645"/>
    <w:rsid w:val="008F3A13"/>
    <w:rsid w:val="0090397A"/>
    <w:rsid w:val="009167FF"/>
    <w:rsid w:val="009169AA"/>
    <w:rsid w:val="009248E5"/>
    <w:rsid w:val="00926BB0"/>
    <w:rsid w:val="0093438A"/>
    <w:rsid w:val="009356A6"/>
    <w:rsid w:val="00937FF9"/>
    <w:rsid w:val="00956F51"/>
    <w:rsid w:val="0097357A"/>
    <w:rsid w:val="00977EC1"/>
    <w:rsid w:val="00980436"/>
    <w:rsid w:val="0099127F"/>
    <w:rsid w:val="009918AA"/>
    <w:rsid w:val="00996381"/>
    <w:rsid w:val="009A1F95"/>
    <w:rsid w:val="009A20A8"/>
    <w:rsid w:val="009A3611"/>
    <w:rsid w:val="009B2F0A"/>
    <w:rsid w:val="009C1C7F"/>
    <w:rsid w:val="009C237B"/>
    <w:rsid w:val="009C4AFB"/>
    <w:rsid w:val="009C7503"/>
    <w:rsid w:val="009D3BFB"/>
    <w:rsid w:val="009D5316"/>
    <w:rsid w:val="009D6C65"/>
    <w:rsid w:val="009F2F50"/>
    <w:rsid w:val="00A009D8"/>
    <w:rsid w:val="00A06D9A"/>
    <w:rsid w:val="00A12BDA"/>
    <w:rsid w:val="00A13972"/>
    <w:rsid w:val="00A21DDD"/>
    <w:rsid w:val="00A27D70"/>
    <w:rsid w:val="00A36D1E"/>
    <w:rsid w:val="00A501A5"/>
    <w:rsid w:val="00A50322"/>
    <w:rsid w:val="00A70B49"/>
    <w:rsid w:val="00A73C37"/>
    <w:rsid w:val="00A84A1A"/>
    <w:rsid w:val="00A85FDA"/>
    <w:rsid w:val="00A86CC2"/>
    <w:rsid w:val="00A87690"/>
    <w:rsid w:val="00A90785"/>
    <w:rsid w:val="00A90C58"/>
    <w:rsid w:val="00A912F8"/>
    <w:rsid w:val="00A962C7"/>
    <w:rsid w:val="00A97EFC"/>
    <w:rsid w:val="00AA0741"/>
    <w:rsid w:val="00AB29CD"/>
    <w:rsid w:val="00AC0594"/>
    <w:rsid w:val="00AC2BA5"/>
    <w:rsid w:val="00AC5B1E"/>
    <w:rsid w:val="00AC647C"/>
    <w:rsid w:val="00AD0298"/>
    <w:rsid w:val="00AF5239"/>
    <w:rsid w:val="00B0426A"/>
    <w:rsid w:val="00B11749"/>
    <w:rsid w:val="00B136F9"/>
    <w:rsid w:val="00B223AF"/>
    <w:rsid w:val="00B27736"/>
    <w:rsid w:val="00B6005D"/>
    <w:rsid w:val="00B70F6E"/>
    <w:rsid w:val="00BA0E0C"/>
    <w:rsid w:val="00BA455F"/>
    <w:rsid w:val="00BA49D5"/>
    <w:rsid w:val="00BB3E15"/>
    <w:rsid w:val="00BC4390"/>
    <w:rsid w:val="00BC6A09"/>
    <w:rsid w:val="00BD1B93"/>
    <w:rsid w:val="00BD5B50"/>
    <w:rsid w:val="00BD5CF8"/>
    <w:rsid w:val="00BE0A61"/>
    <w:rsid w:val="00C00E81"/>
    <w:rsid w:val="00C16148"/>
    <w:rsid w:val="00C21513"/>
    <w:rsid w:val="00C36A6E"/>
    <w:rsid w:val="00C373AB"/>
    <w:rsid w:val="00C4629E"/>
    <w:rsid w:val="00C50D68"/>
    <w:rsid w:val="00C576DE"/>
    <w:rsid w:val="00C63E9F"/>
    <w:rsid w:val="00C77807"/>
    <w:rsid w:val="00C83998"/>
    <w:rsid w:val="00C83DEE"/>
    <w:rsid w:val="00C8693A"/>
    <w:rsid w:val="00C86CB3"/>
    <w:rsid w:val="00CA218A"/>
    <w:rsid w:val="00CB0F43"/>
    <w:rsid w:val="00CB6046"/>
    <w:rsid w:val="00CC331C"/>
    <w:rsid w:val="00CC46E5"/>
    <w:rsid w:val="00CE7666"/>
    <w:rsid w:val="00CF2AD4"/>
    <w:rsid w:val="00CF31D0"/>
    <w:rsid w:val="00CF398E"/>
    <w:rsid w:val="00D01D89"/>
    <w:rsid w:val="00D03237"/>
    <w:rsid w:val="00D154EE"/>
    <w:rsid w:val="00D21098"/>
    <w:rsid w:val="00D33257"/>
    <w:rsid w:val="00D41C28"/>
    <w:rsid w:val="00D463DB"/>
    <w:rsid w:val="00D52BE9"/>
    <w:rsid w:val="00D53C66"/>
    <w:rsid w:val="00D556B3"/>
    <w:rsid w:val="00D57C66"/>
    <w:rsid w:val="00D732EF"/>
    <w:rsid w:val="00D73D05"/>
    <w:rsid w:val="00D765E1"/>
    <w:rsid w:val="00D807DB"/>
    <w:rsid w:val="00D82901"/>
    <w:rsid w:val="00D93ABF"/>
    <w:rsid w:val="00D96F9C"/>
    <w:rsid w:val="00DA5132"/>
    <w:rsid w:val="00DB4069"/>
    <w:rsid w:val="00DC4748"/>
    <w:rsid w:val="00DD4E8E"/>
    <w:rsid w:val="00DE15D3"/>
    <w:rsid w:val="00DE7EBF"/>
    <w:rsid w:val="00DF6F49"/>
    <w:rsid w:val="00E00E32"/>
    <w:rsid w:val="00E024E1"/>
    <w:rsid w:val="00E04F08"/>
    <w:rsid w:val="00E05B15"/>
    <w:rsid w:val="00E06C9A"/>
    <w:rsid w:val="00E11D2B"/>
    <w:rsid w:val="00E3328E"/>
    <w:rsid w:val="00E4143A"/>
    <w:rsid w:val="00E43041"/>
    <w:rsid w:val="00E431B5"/>
    <w:rsid w:val="00E45562"/>
    <w:rsid w:val="00E47AD7"/>
    <w:rsid w:val="00E54799"/>
    <w:rsid w:val="00E61B48"/>
    <w:rsid w:val="00E61D8D"/>
    <w:rsid w:val="00E62A32"/>
    <w:rsid w:val="00E802D5"/>
    <w:rsid w:val="00E81E16"/>
    <w:rsid w:val="00E862B5"/>
    <w:rsid w:val="00E868A5"/>
    <w:rsid w:val="00E86E05"/>
    <w:rsid w:val="00E9261B"/>
    <w:rsid w:val="00EA20D5"/>
    <w:rsid w:val="00EB32D0"/>
    <w:rsid w:val="00EB699A"/>
    <w:rsid w:val="00EC6C5A"/>
    <w:rsid w:val="00ED1049"/>
    <w:rsid w:val="00EE395D"/>
    <w:rsid w:val="00EF1B19"/>
    <w:rsid w:val="00EF4477"/>
    <w:rsid w:val="00EF6AFF"/>
    <w:rsid w:val="00F11BDD"/>
    <w:rsid w:val="00F15F16"/>
    <w:rsid w:val="00F24649"/>
    <w:rsid w:val="00F24D14"/>
    <w:rsid w:val="00F24D39"/>
    <w:rsid w:val="00F2639D"/>
    <w:rsid w:val="00F31605"/>
    <w:rsid w:val="00F44CC4"/>
    <w:rsid w:val="00F51637"/>
    <w:rsid w:val="00F562D6"/>
    <w:rsid w:val="00F71101"/>
    <w:rsid w:val="00F73A0A"/>
    <w:rsid w:val="00F73DA2"/>
    <w:rsid w:val="00F74F7E"/>
    <w:rsid w:val="00F7542F"/>
    <w:rsid w:val="00F7734E"/>
    <w:rsid w:val="00F8631D"/>
    <w:rsid w:val="00F8747E"/>
    <w:rsid w:val="00F9138A"/>
    <w:rsid w:val="00FB0B7D"/>
    <w:rsid w:val="00FB31C0"/>
    <w:rsid w:val="00FB5022"/>
    <w:rsid w:val="00FB6334"/>
    <w:rsid w:val="00FD170C"/>
    <w:rsid w:val="00FD36AD"/>
    <w:rsid w:val="00FE58EE"/>
    <w:rsid w:val="00FF5917"/>
    <w:rsid w:val="00FF5F4B"/>
    <w:rsid w:val="00FF7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3F5A9"/>
  <w15:chartTrackingRefBased/>
  <w15:docId w15:val="{248E3F4E-5330-694E-96DA-8CB9FDBF9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B42"/>
    <w:rPr>
      <w:rFonts w:ascii="Times New Roman" w:hAnsi="Times New Roman"/>
      <w:sz w:val="22"/>
      <w:szCs w:val="2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ONormal">
    <w:name w:val="SLO Normal"/>
    <w:rsid w:val="005E4B42"/>
    <w:pPr>
      <w:overflowPunct w:val="0"/>
      <w:autoSpaceDE w:val="0"/>
      <w:autoSpaceDN w:val="0"/>
      <w:adjustRightInd w:val="0"/>
      <w:spacing w:before="120" w:after="120"/>
      <w:jc w:val="both"/>
      <w:textAlignment w:val="baseline"/>
    </w:pPr>
    <w:rPr>
      <w:rFonts w:ascii="Times New Roman" w:eastAsia="Times New Roman" w:hAnsi="Times New Roman" w:cs="Times New Roman"/>
      <w:noProof/>
    </w:rPr>
  </w:style>
  <w:style w:type="paragraph" w:styleId="ListParagraph">
    <w:name w:val="List Paragraph"/>
    <w:basedOn w:val="Normal"/>
    <w:uiPriority w:val="34"/>
    <w:qFormat/>
    <w:rsid w:val="005E4B42"/>
    <w:pPr>
      <w:ind w:left="720"/>
      <w:contextualSpacing/>
    </w:pPr>
  </w:style>
  <w:style w:type="table" w:styleId="TableGrid">
    <w:name w:val="Table Grid"/>
    <w:basedOn w:val="TableNormal"/>
    <w:uiPriority w:val="39"/>
    <w:rsid w:val="005E4B42"/>
    <w:rPr>
      <w:rFonts w:ascii="Times New Roman" w:hAnsi="Times New Roman"/>
      <w:sz w:val="22"/>
      <w:szCs w:val="22"/>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1101"/>
    <w:rPr>
      <w:sz w:val="16"/>
      <w:szCs w:val="16"/>
    </w:rPr>
  </w:style>
  <w:style w:type="paragraph" w:styleId="CommentText">
    <w:name w:val="annotation text"/>
    <w:basedOn w:val="Normal"/>
    <w:link w:val="CommentTextChar"/>
    <w:uiPriority w:val="99"/>
    <w:unhideWhenUsed/>
    <w:rsid w:val="00F71101"/>
    <w:rPr>
      <w:sz w:val="20"/>
      <w:szCs w:val="20"/>
    </w:rPr>
  </w:style>
  <w:style w:type="character" w:customStyle="1" w:styleId="CommentTextChar">
    <w:name w:val="Comment Text Char"/>
    <w:basedOn w:val="DefaultParagraphFont"/>
    <w:link w:val="CommentText"/>
    <w:uiPriority w:val="99"/>
    <w:rsid w:val="00F71101"/>
    <w:rPr>
      <w:rFonts w:ascii="Times New Roman" w:hAnsi="Times New Roman"/>
      <w:sz w:val="20"/>
      <w:szCs w:val="20"/>
      <w:lang w:val="lt-LT"/>
    </w:rPr>
  </w:style>
  <w:style w:type="paragraph" w:styleId="Header">
    <w:name w:val="header"/>
    <w:basedOn w:val="Normal"/>
    <w:link w:val="HeaderChar"/>
    <w:uiPriority w:val="99"/>
    <w:unhideWhenUsed/>
    <w:rsid w:val="009248E5"/>
    <w:pPr>
      <w:tabs>
        <w:tab w:val="center" w:pos="4513"/>
        <w:tab w:val="right" w:pos="9026"/>
      </w:tabs>
    </w:pPr>
  </w:style>
  <w:style w:type="character" w:customStyle="1" w:styleId="HeaderChar">
    <w:name w:val="Header Char"/>
    <w:basedOn w:val="DefaultParagraphFont"/>
    <w:link w:val="Header"/>
    <w:uiPriority w:val="99"/>
    <w:rsid w:val="009248E5"/>
    <w:rPr>
      <w:rFonts w:ascii="Times New Roman" w:hAnsi="Times New Roman"/>
      <w:sz w:val="22"/>
      <w:szCs w:val="22"/>
      <w:lang w:val="lt-LT"/>
    </w:rPr>
  </w:style>
  <w:style w:type="paragraph" w:styleId="Footer">
    <w:name w:val="footer"/>
    <w:basedOn w:val="Normal"/>
    <w:link w:val="FooterChar"/>
    <w:uiPriority w:val="99"/>
    <w:unhideWhenUsed/>
    <w:rsid w:val="009248E5"/>
    <w:pPr>
      <w:tabs>
        <w:tab w:val="center" w:pos="4513"/>
        <w:tab w:val="right" w:pos="9026"/>
      </w:tabs>
    </w:pPr>
  </w:style>
  <w:style w:type="character" w:customStyle="1" w:styleId="FooterChar">
    <w:name w:val="Footer Char"/>
    <w:basedOn w:val="DefaultParagraphFont"/>
    <w:link w:val="Footer"/>
    <w:uiPriority w:val="99"/>
    <w:rsid w:val="009248E5"/>
    <w:rPr>
      <w:rFonts w:ascii="Times New Roman" w:hAnsi="Times New Roman"/>
      <w:sz w:val="22"/>
      <w:szCs w:val="22"/>
      <w:lang w:val="lt-LT"/>
    </w:rPr>
  </w:style>
  <w:style w:type="paragraph" w:styleId="CommentSubject">
    <w:name w:val="annotation subject"/>
    <w:basedOn w:val="CommentText"/>
    <w:next w:val="CommentText"/>
    <w:link w:val="CommentSubjectChar"/>
    <w:uiPriority w:val="99"/>
    <w:semiHidden/>
    <w:unhideWhenUsed/>
    <w:rsid w:val="006B13DE"/>
    <w:rPr>
      <w:b/>
      <w:bCs/>
    </w:rPr>
  </w:style>
  <w:style w:type="character" w:customStyle="1" w:styleId="CommentSubjectChar">
    <w:name w:val="Comment Subject Char"/>
    <w:basedOn w:val="CommentTextChar"/>
    <w:link w:val="CommentSubject"/>
    <w:uiPriority w:val="99"/>
    <w:semiHidden/>
    <w:rsid w:val="006B13DE"/>
    <w:rPr>
      <w:rFonts w:ascii="Times New Roman" w:hAnsi="Times New Roman"/>
      <w:b/>
      <w:bCs/>
      <w:sz w:val="20"/>
      <w:szCs w:val="20"/>
      <w:lang w:val="lt-LT"/>
    </w:rPr>
  </w:style>
  <w:style w:type="character" w:styleId="Hyperlink">
    <w:name w:val="Hyperlink"/>
    <w:uiPriority w:val="99"/>
    <w:semiHidden/>
    <w:unhideWhenUsed/>
    <w:rsid w:val="00254692"/>
    <w:rPr>
      <w:color w:val="0000FF"/>
      <w:u w:val="single"/>
    </w:rPr>
  </w:style>
  <w:style w:type="paragraph" w:styleId="EndnoteText">
    <w:name w:val="endnote text"/>
    <w:basedOn w:val="Normal"/>
    <w:link w:val="EndnoteTextChar"/>
    <w:uiPriority w:val="99"/>
    <w:semiHidden/>
    <w:unhideWhenUsed/>
    <w:rsid w:val="00C16148"/>
    <w:rPr>
      <w:sz w:val="20"/>
      <w:szCs w:val="20"/>
    </w:rPr>
  </w:style>
  <w:style w:type="character" w:customStyle="1" w:styleId="EndnoteTextChar">
    <w:name w:val="Endnote Text Char"/>
    <w:basedOn w:val="DefaultParagraphFont"/>
    <w:link w:val="EndnoteText"/>
    <w:uiPriority w:val="99"/>
    <w:semiHidden/>
    <w:rsid w:val="00C16148"/>
    <w:rPr>
      <w:rFonts w:ascii="Times New Roman" w:hAnsi="Times New Roman"/>
      <w:sz w:val="20"/>
      <w:szCs w:val="20"/>
      <w:lang w:val="lt-LT"/>
    </w:rPr>
  </w:style>
  <w:style w:type="character" w:styleId="EndnoteReference">
    <w:name w:val="endnote reference"/>
    <w:basedOn w:val="DefaultParagraphFont"/>
    <w:uiPriority w:val="99"/>
    <w:semiHidden/>
    <w:unhideWhenUsed/>
    <w:rsid w:val="00C16148"/>
    <w:rPr>
      <w:vertAlign w:val="superscript"/>
    </w:rPr>
  </w:style>
  <w:style w:type="paragraph" w:styleId="Revision">
    <w:name w:val="Revision"/>
    <w:hidden/>
    <w:uiPriority w:val="99"/>
    <w:semiHidden/>
    <w:rsid w:val="00E86E05"/>
    <w:rPr>
      <w:rFonts w:ascii="Times New Roman" w:hAnsi="Times New Roman"/>
      <w:sz w:val="22"/>
      <w:szCs w:val="22"/>
      <w:lang w:val="lt-LT"/>
    </w:rPr>
  </w:style>
  <w:style w:type="character" w:styleId="PlaceholderText">
    <w:name w:val="Placeholder Text"/>
    <w:basedOn w:val="DefaultParagraphFont"/>
    <w:uiPriority w:val="99"/>
    <w:semiHidden/>
    <w:rsid w:val="00076E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9319">
      <w:bodyDiv w:val="1"/>
      <w:marLeft w:val="0"/>
      <w:marRight w:val="0"/>
      <w:marTop w:val="0"/>
      <w:marBottom w:val="0"/>
      <w:divBdr>
        <w:top w:val="none" w:sz="0" w:space="0" w:color="auto"/>
        <w:left w:val="none" w:sz="0" w:space="0" w:color="auto"/>
        <w:bottom w:val="none" w:sz="0" w:space="0" w:color="auto"/>
        <w:right w:val="none" w:sz="0" w:space="0" w:color="auto"/>
      </w:divBdr>
    </w:div>
    <w:div w:id="425420596">
      <w:bodyDiv w:val="1"/>
      <w:marLeft w:val="0"/>
      <w:marRight w:val="0"/>
      <w:marTop w:val="0"/>
      <w:marBottom w:val="0"/>
      <w:divBdr>
        <w:top w:val="none" w:sz="0" w:space="0" w:color="auto"/>
        <w:left w:val="none" w:sz="0" w:space="0" w:color="auto"/>
        <w:bottom w:val="none" w:sz="0" w:space="0" w:color="auto"/>
        <w:right w:val="none" w:sz="0" w:space="0" w:color="auto"/>
      </w:divBdr>
    </w:div>
    <w:div w:id="1286085806">
      <w:bodyDiv w:val="1"/>
      <w:marLeft w:val="0"/>
      <w:marRight w:val="0"/>
      <w:marTop w:val="0"/>
      <w:marBottom w:val="0"/>
      <w:divBdr>
        <w:top w:val="none" w:sz="0" w:space="0" w:color="auto"/>
        <w:left w:val="none" w:sz="0" w:space="0" w:color="auto"/>
        <w:bottom w:val="none" w:sz="0" w:space="0" w:color="auto"/>
        <w:right w:val="none" w:sz="0" w:space="0" w:color="auto"/>
      </w:divBdr>
    </w:div>
    <w:div w:id="152366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o@dio.l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cr-baltic.org/eurpallets/"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5B041C5-58B8-4E9E-884F-F62F597D05DD}"/>
      </w:docPartPr>
      <w:docPartBody>
        <w:p w:rsidR="00000000" w:rsidRDefault="007D4859">
          <w:r w:rsidRPr="00F031F3">
            <w:rPr>
              <w:rStyle w:val="PlaceholderText"/>
            </w:rPr>
            <w:t>Click or tap here to enter text.</w:t>
          </w:r>
        </w:p>
      </w:docPartBody>
    </w:docPart>
    <w:docPart>
      <w:docPartPr>
        <w:name w:val="9266578D505B45439BFF9EADB4FDE381"/>
        <w:category>
          <w:name w:val="General"/>
          <w:gallery w:val="placeholder"/>
        </w:category>
        <w:types>
          <w:type w:val="bbPlcHdr"/>
        </w:types>
        <w:behaviors>
          <w:behavior w:val="content"/>
        </w:behaviors>
        <w:guid w:val="{B444EDB4-0393-4FEF-AAB2-B5838FEDA8A2}"/>
      </w:docPartPr>
      <w:docPartBody>
        <w:p w:rsidR="00000000" w:rsidRDefault="007D4859" w:rsidP="007D4859">
          <w:pPr>
            <w:pStyle w:val="9266578D505B45439BFF9EADB4FDE381"/>
          </w:pPr>
          <w:r w:rsidRPr="00832AC7">
            <w:rPr>
              <w:rStyle w:val="PlaceholderText"/>
            </w:rPr>
            <w:t>Click or tap here to enter text.</w:t>
          </w:r>
        </w:p>
      </w:docPartBody>
    </w:docPart>
    <w:docPart>
      <w:docPartPr>
        <w:name w:val="4EC2D119E94D4765A6942E5E178D045D"/>
        <w:category>
          <w:name w:val="General"/>
          <w:gallery w:val="placeholder"/>
        </w:category>
        <w:types>
          <w:type w:val="bbPlcHdr"/>
        </w:types>
        <w:behaviors>
          <w:behavior w:val="content"/>
        </w:behaviors>
        <w:guid w:val="{D5C00EDC-9AD6-407D-9EDF-3077CE5E8547}"/>
      </w:docPartPr>
      <w:docPartBody>
        <w:p w:rsidR="00000000" w:rsidRDefault="007D4859" w:rsidP="007D4859">
          <w:pPr>
            <w:pStyle w:val="4EC2D119E94D4765A6942E5E178D045D"/>
          </w:pPr>
          <w:r w:rsidRPr="00832AC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859"/>
    <w:rsid w:val="007D4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4859"/>
    <w:rPr>
      <w:color w:val="808080"/>
    </w:rPr>
  </w:style>
  <w:style w:type="paragraph" w:customStyle="1" w:styleId="9266578D505B45439BFF9EADB4FDE381">
    <w:name w:val="9266578D505B45439BFF9EADB4FDE381"/>
    <w:rsid w:val="007D4859"/>
  </w:style>
  <w:style w:type="paragraph" w:customStyle="1" w:styleId="4EC2D119E94D4765A6942E5E178D045D">
    <w:name w:val="4EC2D119E94D4765A6942E5E178D045D"/>
    <w:rsid w:val="007D4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BDA4C6400B5B42A55E0165730D36A5" ma:contentTypeVersion="14" ma:contentTypeDescription="Create a new document." ma:contentTypeScope="" ma:versionID="d20f70bb41d6274ebc29b8df7fbaa9fa">
  <xsd:schema xmlns:xsd="http://www.w3.org/2001/XMLSchema" xmlns:xs="http://www.w3.org/2001/XMLSchema" xmlns:p="http://schemas.microsoft.com/office/2006/metadata/properties" xmlns:ns2="99b5edb1-c34a-450e-9944-4ee0c551af12" xmlns:ns3="98bacc88-9d5e-45c5-a8c2-dc6b629729db" targetNamespace="http://schemas.microsoft.com/office/2006/metadata/properties" ma:root="true" ma:fieldsID="95d8ed390d4bb18be176192c8c23f681" ns2:_="" ns3:_="">
    <xsd:import namespace="99b5edb1-c34a-450e-9944-4ee0c551af12"/>
    <xsd:import namespace="98bacc88-9d5e-45c5-a8c2-dc6b629729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5edb1-c34a-450e-9944-4ee0c551a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bacc88-9d5e-45c5-a8c2-dc6b629729d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474F5-F8F2-4304-BE46-87A9EBE26D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8C43D8-26C8-423C-B000-AD7A8CF6972A}">
  <ds:schemaRefs>
    <ds:schemaRef ds:uri="http://schemas.microsoft.com/sharepoint/v3/contenttype/forms"/>
  </ds:schemaRefs>
</ds:datastoreItem>
</file>

<file path=customXml/itemProps3.xml><?xml version="1.0" encoding="utf-8"?>
<ds:datastoreItem xmlns:ds="http://schemas.openxmlformats.org/officeDocument/2006/customXml" ds:itemID="{25F02110-3038-4B50-A329-EE50933D7E66}"/>
</file>

<file path=customXml/itemProps4.xml><?xml version="1.0" encoding="utf-8"?>
<ds:datastoreItem xmlns:ds="http://schemas.openxmlformats.org/officeDocument/2006/customXml" ds:itemID="{6EA1DAF4-331B-4A92-8B2A-9EF5FA69E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2059</Words>
  <Characters>11738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Merwin | Ellex</dc:creator>
  <cp:keywords/>
  <dc:description/>
  <cp:lastModifiedBy>Margarita Šilinika</cp:lastModifiedBy>
  <cp:revision>2</cp:revision>
  <dcterms:created xsi:type="dcterms:W3CDTF">2021-11-10T07:02:00Z</dcterms:created>
  <dcterms:modified xsi:type="dcterms:W3CDTF">2021-11-10T07:02:00Z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0x010100E6BDA4C6400B5B42A55E0165730D36A5</vt:lpwstr>
  </property>
</Properties>
</file>